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E69B" w14:textId="20D333D8"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w:t>
      </w:r>
      <w:r w:rsidR="00BC2724">
        <w:rPr>
          <w:rFonts w:ascii="Tahoma" w:hAnsi="Tahoma" w:cs="Tahoma"/>
          <w:color w:val="B4C6E7" w:themeColor="accent1" w:themeTint="66"/>
          <w:sz w:val="22"/>
          <w:szCs w:val="22"/>
          <w:lang w:val="ro-RO"/>
        </w:rPr>
        <w:t>2026</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2AB68FB" w:rsidR="00DC0EF1"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F7529C" w:rsidRPr="00F7529C">
        <w:rPr>
          <w:rFonts w:ascii="Tahoma" w:hAnsi="Tahoma" w:cs="Tahoma"/>
          <w:b w:val="0"/>
          <w:sz w:val="22"/>
          <w:szCs w:val="22"/>
          <w:lang w:val="ro-RO"/>
        </w:rPr>
        <w:t xml:space="preserve">inclusiv formula de ajustare a prețului de atribuire a contractului, după caz, </w:t>
      </w:r>
      <w:r w:rsidR="00F7529C">
        <w:rPr>
          <w:rFonts w:ascii="Tahoma" w:hAnsi="Tahoma" w:cs="Tahoma"/>
          <w:b w:val="0"/>
          <w:sz w:val="22"/>
          <w:szCs w:val="22"/>
          <w:lang w:val="ro-RO"/>
        </w:rPr>
        <w:t>sunt</w:t>
      </w:r>
      <w:r w:rsidR="00DC0EF1" w:rsidRPr="00E824AF">
        <w:rPr>
          <w:rFonts w:ascii="Tahoma" w:hAnsi="Tahoma" w:cs="Tahoma"/>
          <w:b w:val="0"/>
          <w:sz w:val="22"/>
          <w:szCs w:val="22"/>
          <w:lang w:val="ro-RO"/>
        </w:rPr>
        <w:t xml:space="preserve"> ferm</w:t>
      </w:r>
      <w:r w:rsidR="00F7529C">
        <w:rPr>
          <w:rFonts w:ascii="Tahoma" w:hAnsi="Tahoma" w:cs="Tahoma"/>
          <w:b w:val="0"/>
          <w:sz w:val="22"/>
          <w:szCs w:val="22"/>
          <w:lang w:val="ro-RO"/>
        </w:rPr>
        <w:t>e</w:t>
      </w:r>
      <w:r w:rsidR="00215786" w:rsidRPr="00E824AF">
        <w:rPr>
          <w:rFonts w:ascii="Tahoma" w:hAnsi="Tahoma" w:cs="Tahoma"/>
          <w:b w:val="0"/>
          <w:sz w:val="22"/>
          <w:szCs w:val="22"/>
          <w:lang w:val="ro-RO"/>
        </w:rPr>
        <w:t xml:space="preserve"> </w:t>
      </w:r>
      <w:r w:rsidR="00DC0EF1" w:rsidRPr="00E824AF">
        <w:rPr>
          <w:rFonts w:ascii="Tahoma" w:hAnsi="Tahoma" w:cs="Tahoma"/>
          <w:b w:val="0"/>
          <w:sz w:val="22"/>
          <w:szCs w:val="22"/>
          <w:lang w:val="ro-RO"/>
        </w:rPr>
        <w:t xml:space="preserve">pentru ambele părţi pe toată durata contractuală. </w:t>
      </w:r>
      <w:bookmarkEnd w:id="2"/>
    </w:p>
    <w:p w14:paraId="31BDBE71" w14:textId="573FCDB1" w:rsidR="00F7529C" w:rsidRPr="00F7529C" w:rsidRDefault="00F7529C" w:rsidP="00F7529C">
      <w:pPr>
        <w:rPr>
          <w:lang w:val="ro-RO"/>
        </w:rPr>
      </w:pPr>
      <w:r w:rsidRPr="004A3664">
        <w:rPr>
          <w:rFonts w:ascii="Tahoma" w:hAnsi="Tahoma" w:cs="Tahoma"/>
          <w:sz w:val="22"/>
          <w:szCs w:val="22"/>
          <w:lang w:val="ro-RO"/>
        </w:rPr>
        <w:t xml:space="preserve">Formula de ajustare a prețului de atribuire a contractului, în cazul în care părțile au agreat la semnarea contractului activarea opțiunii pentru aplicarea formulei de ajustare publicate prin oferta inițiatoare, ce </w:t>
      </w:r>
      <w:r w:rsidRPr="00275E13">
        <w:rPr>
          <w:rFonts w:ascii="Tahoma" w:hAnsi="Tahoma" w:cs="Tahoma"/>
          <w:sz w:val="22"/>
          <w:szCs w:val="22"/>
          <w:lang w:val="ro-RO"/>
        </w:rPr>
        <w:t>conține c</w:t>
      </w:r>
      <w:r w:rsidRPr="004F39D9">
        <w:rPr>
          <w:rFonts w:ascii="Tahoma" w:hAnsi="Tahoma" w:cs="Tahoma"/>
          <w:sz w:val="22"/>
          <w:szCs w:val="22"/>
          <w:lang w:val="ro-RO"/>
        </w:rPr>
        <w:t>a variabilă doar un indice bursier public din domeniul energiei electrice și este cea precizată în Anexa 3. Această formulă se aplică lunar, începând cu prima zi</w:t>
      </w:r>
      <w:r w:rsidRPr="002D0612">
        <w:rPr>
          <w:rFonts w:ascii="Tahoma" w:hAnsi="Tahoma" w:cs="Tahoma"/>
          <w:sz w:val="22"/>
          <w:szCs w:val="22"/>
          <w:lang w:val="ro-RO"/>
        </w:rPr>
        <w:t xml:space="preserve"> </w:t>
      </w:r>
      <w:r>
        <w:rPr>
          <w:rFonts w:ascii="Tahoma" w:hAnsi="Tahoma" w:cs="Tahoma"/>
          <w:sz w:val="22"/>
          <w:szCs w:val="22"/>
          <w:lang w:val="ro-RO"/>
        </w:rPr>
        <w:t>după primul an de livrare</w:t>
      </w:r>
      <w:r w:rsidRPr="005726AA">
        <w:rPr>
          <w:rFonts w:ascii="Tahoma" w:hAnsi="Tahoma" w:cs="Tahoma"/>
          <w:sz w:val="22"/>
          <w:szCs w:val="22"/>
          <w:lang w:val="ro-RO"/>
        </w:rPr>
        <w:t>.</w:t>
      </w:r>
    </w:p>
    <w:p w14:paraId="05CFFF7C" w14:textId="77777777" w:rsidR="00812A82" w:rsidRPr="00E824AF" w:rsidRDefault="000626C8" w:rsidP="002C440A">
      <w:pPr>
        <w:pStyle w:val="Heading1"/>
        <w:spacing w:before="100" w:beforeAutospacing="1" w:after="100" w:afterAutospacing="1"/>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34B35EB5"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r w:rsidR="00170BAC" w:rsidRPr="00E824AF">
        <w:rPr>
          <w:rFonts w:ascii="Tahoma" w:hAnsi="Tahoma" w:cs="Tahoma"/>
          <w:sz w:val="22"/>
          <w:szCs w:val="22"/>
          <w:lang w:val="ro-RO"/>
        </w:rPr>
        <w:t>(1) 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w:t>
      </w:r>
      <w:r w:rsidR="00F7529C">
        <w:rPr>
          <w:rFonts w:ascii="Tahoma" w:hAnsi="Tahoma" w:cs="Tahoma"/>
          <w:sz w:val="22"/>
          <w:szCs w:val="22"/>
          <w:lang w:val="ro-RO"/>
        </w:rPr>
        <w:t>în timp ce în cazul exercitării flexibilității conform alin</w:t>
      </w:r>
      <w:r w:rsidR="009525C5">
        <w:rPr>
          <w:rFonts w:ascii="Tahoma" w:hAnsi="Tahoma" w:cs="Tahoma"/>
          <w:sz w:val="22"/>
          <w:szCs w:val="22"/>
          <w:lang w:val="ro-RO"/>
        </w:rPr>
        <w:t>i</w:t>
      </w:r>
      <w:r w:rsidR="00F7529C">
        <w:rPr>
          <w:rFonts w:ascii="Tahoma" w:hAnsi="Tahoma" w:cs="Tahoma"/>
          <w:sz w:val="22"/>
          <w:szCs w:val="22"/>
          <w:lang w:val="ro-RO"/>
        </w:rPr>
        <w:t xml:space="preserve">atului (2) de mai jos cantiatea convenită este fermă în ambele cazuri, </w:t>
      </w:r>
      <w:r w:rsidR="00170BAC" w:rsidRPr="00E824AF">
        <w:rPr>
          <w:rFonts w:ascii="Tahoma" w:hAnsi="Tahoma" w:cs="Tahoma"/>
          <w:sz w:val="22"/>
          <w:szCs w:val="22"/>
          <w:lang w:val="ro-RO"/>
        </w:rPr>
        <w:t xml:space="preserve">Vânzătorul asumându-şi obligaţia de a o livra în reţeaua electricǎ de transport şi/sau distribuţie şi vinde </w:t>
      </w:r>
      <w:r w:rsidR="00170BAC" w:rsidRPr="00E824AF">
        <w:rPr>
          <w:rFonts w:ascii="Tahoma" w:hAnsi="Tahoma" w:cs="Tahoma"/>
          <w:sz w:val="22"/>
          <w:szCs w:val="22"/>
          <w:lang w:val="ro-RO"/>
        </w:rPr>
        <w:lastRenderedPageBreak/>
        <w:t>Cumpărătorului, iar Cumpărătorul asumându</w:t>
      </w:r>
      <w:r w:rsidR="00170BAC" w:rsidRPr="00170BAC">
        <w:rPr>
          <w:rFonts w:ascii="Tahoma" w:hAnsi="Tahoma" w:cs="Tahoma"/>
          <w:sz w:val="22"/>
          <w:szCs w:val="22"/>
          <w:lang w:val="ro-RO"/>
        </w:rPr>
        <w:t>-şi obligaţia de a o accepta şi cumpăra la preţul de contract din Anexa 3.</w:t>
      </w:r>
    </w:p>
    <w:p w14:paraId="3B27000D" w14:textId="77777777" w:rsidR="00F7529C" w:rsidRPr="00C43337" w:rsidRDefault="00F7529C" w:rsidP="00F7529C">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Pr="00170BAC">
        <w:rPr>
          <w:rFonts w:ascii="Tahoma" w:hAnsi="Tahoma" w:cs="Tahoma"/>
          <w:sz w:val="22"/>
          <w:szCs w:val="22"/>
          <w:lang w:val="ro-RO"/>
        </w:rPr>
        <w:t>În cazul în care este precizată în Anexa 2 opțiunea privind variația puterii pe interval de decontare, activarea opțiunii de modificare a cantității pe interval de decontare se va face implicit la cererea părții care are dreptul să solicite această flexibilitate, în cazul în care există o astfel de precizare. 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pe interval de decontare, se consideră cantitatea notificată la operatorul pieţei de echilibrare, conform prevederilor RPUPCD, ca fiind aceea conform solicitării privind activarea opțiunii de modificare a cantității pe interval de decontare. În situaţia activării de către ambele părți a opțiunii privind variația puterii pe interval de decontare, se va lua în considerare notificarea cu valoarea cea mai mică.</w:t>
      </w:r>
    </w:p>
    <w:p w14:paraId="7CEB0C63" w14:textId="51C2BB26"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w:t>
      </w:r>
      <w:r w:rsidR="00BC2724" w:rsidRPr="00BC2724">
        <w:rPr>
          <w:rFonts w:ascii="Tahoma" w:hAnsi="Tahoma" w:cs="Tahoma"/>
          <w:sz w:val="22"/>
          <w:szCs w:val="22"/>
          <w:lang w:val="ro-RO"/>
        </w:rPr>
        <w:t xml:space="preserve">prevederile </w:t>
      </w:r>
      <w:r w:rsidR="005E1E67" w:rsidRPr="00AF37FD">
        <w:rPr>
          <w:rFonts w:ascii="Tahoma" w:hAnsi="Tahoma" w:cs="Tahoma"/>
          <w:sz w:val="22"/>
          <w:szCs w:val="22"/>
          <w:lang w:val="ro-RO"/>
        </w:rPr>
        <w:t>Codului de măsurare a energiei electrice, aprobat prin Ordinul președintelui ANRE nr. 103/2015</w:t>
      </w:r>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14:paraId="60473BFB" w14:textId="1E6AAAB1"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5825CB" w:rsidRPr="00C43337">
        <w:rPr>
          <w:rFonts w:ascii="Tahoma" w:hAnsi="Tahoma" w:cs="Tahoma"/>
          <w:sz w:val="22"/>
          <w:szCs w:val="22"/>
          <w:lang w:val="ro-RO"/>
        </w:rPr>
        <w:t>.</w:t>
      </w:r>
    </w:p>
    <w:p w14:paraId="27D4FC81" w14:textId="3835F669"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p>
    <w:p w14:paraId="30E79F0E" w14:textId="795CC6EE"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w:t>
      </w:r>
      <w:r w:rsidR="00BC2724" w:rsidRPr="00BC2724">
        <w:rPr>
          <w:rFonts w:ascii="Tahoma" w:hAnsi="Tahoma" w:cs="Tahoma"/>
          <w:sz w:val="22"/>
          <w:szCs w:val="22"/>
          <w:lang w:val="ro-RO"/>
        </w:rPr>
        <w:t>Părț</w:t>
      </w:r>
      <w:r w:rsidR="005E1E67">
        <w:rPr>
          <w:rFonts w:ascii="Tahoma" w:hAnsi="Tahoma" w:cs="Tahoma"/>
          <w:sz w:val="22"/>
          <w:szCs w:val="22"/>
          <w:lang w:val="ro-RO"/>
        </w:rPr>
        <w:t>i.</w:t>
      </w:r>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29FC8119"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 xml:space="preserve">rilor </w:t>
      </w:r>
      <w:r w:rsidR="00A3500B">
        <w:rPr>
          <w:rFonts w:ascii="Tahoma" w:hAnsi="Tahoma" w:cs="Tahoma"/>
          <w:sz w:val="22"/>
          <w:szCs w:val="22"/>
          <w:lang w:val="ro-RO"/>
        </w:rPr>
        <w:t>de program</w:t>
      </w:r>
      <w:r w:rsidR="00A3500B" w:rsidRPr="00C43337">
        <w:rPr>
          <w:rFonts w:ascii="Tahoma" w:hAnsi="Tahoma" w:cs="Tahoma"/>
          <w:sz w:val="22"/>
          <w:szCs w:val="22"/>
          <w:lang w:val="ro-RO"/>
        </w:rPr>
        <w:t xml:space="preserve"> </w:t>
      </w:r>
      <w:r w:rsidRPr="00C43337">
        <w:rPr>
          <w:rFonts w:ascii="Tahoma" w:hAnsi="Tahoma" w:cs="Tahoma"/>
          <w:sz w:val="22"/>
          <w:szCs w:val="22"/>
          <w:lang w:val="ro-RO"/>
        </w:rPr>
        <w:t>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56F16C6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w:t>
      </w:r>
      <w:r w:rsidR="00A3500B">
        <w:rPr>
          <w:rFonts w:ascii="Tahoma" w:hAnsi="Tahoma" w:cs="Tahoma"/>
          <w:sz w:val="22"/>
          <w:szCs w:val="22"/>
          <w:lang w:val="ro-RO"/>
        </w:rPr>
        <w:t>de program</w:t>
      </w:r>
      <w:r w:rsidR="00A3500B" w:rsidRPr="00C43337">
        <w:rPr>
          <w:rFonts w:ascii="Tahoma" w:hAnsi="Tahoma" w:cs="Tahoma"/>
          <w:sz w:val="22"/>
          <w:szCs w:val="22"/>
          <w:lang w:val="ro-RO"/>
        </w:rPr>
        <w:t xml:space="preserv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06D8A0D6"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w:t>
      </w:r>
      <w:r w:rsidR="00A3500B">
        <w:rPr>
          <w:rFonts w:ascii="Tahoma" w:hAnsi="Tahoma" w:cs="Tahoma"/>
          <w:sz w:val="22"/>
          <w:szCs w:val="22"/>
          <w:lang w:val="ro-RO"/>
        </w:rPr>
        <w:t>de program</w:t>
      </w:r>
      <w:r w:rsidR="00A3500B" w:rsidRPr="00C43337">
        <w:rPr>
          <w:rFonts w:ascii="Tahoma" w:hAnsi="Tahoma" w:cs="Tahoma"/>
          <w:sz w:val="22"/>
          <w:szCs w:val="22"/>
          <w:lang w:val="ro-RO"/>
        </w:rPr>
        <w:t xml:space="preserv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6DBE2CB7"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741E3">
        <w:rPr>
          <w:rFonts w:ascii="Tahoma" w:hAnsi="Tahoma" w:cs="Tahoma"/>
          <w:b/>
          <w:sz w:val="22"/>
          <w:szCs w:val="22"/>
          <w:lang w:val="ro-RO"/>
        </w:rPr>
        <w:t>9</w:t>
      </w:r>
      <w:r w:rsidRPr="00C43337">
        <w:rPr>
          <w:rFonts w:ascii="Tahoma" w:hAnsi="Tahoma" w:cs="Tahoma"/>
          <w:sz w:val="22"/>
          <w:szCs w:val="22"/>
          <w:lang w:val="ro-RO"/>
        </w:rPr>
        <w:t xml:space="preserve">. (1) </w:t>
      </w:r>
      <w:bookmarkStart w:id="3" w:name="_Hlk8743637"/>
      <w:r w:rsidRPr="00C43337">
        <w:rPr>
          <w:rFonts w:ascii="Tahoma" w:hAnsi="Tahoma" w:cs="Tahoma"/>
          <w:sz w:val="22"/>
          <w:szCs w:val="22"/>
          <w:lang w:val="ro-RO"/>
        </w:rPr>
        <w:t xml:space="preserve">Perioada de valabilitate a prezentului contract </w:t>
      </w:r>
      <w:bookmarkEnd w:id="3"/>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4"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4"/>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5" w:name="_Hlk8660972"/>
      <w:r w:rsidRPr="00C43337">
        <w:rPr>
          <w:rFonts w:ascii="Tahoma" w:hAnsi="Tahoma" w:cs="Tahoma"/>
          <w:sz w:val="22"/>
          <w:szCs w:val="22"/>
          <w:lang w:val="ro-RO"/>
        </w:rPr>
        <w:t>Data de Expirare</w:t>
      </w:r>
      <w:bookmarkEnd w:id="5"/>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238E9013"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F93043">
        <w:rPr>
          <w:rFonts w:ascii="Tahoma" w:hAnsi="Tahoma" w:cs="Tahoma"/>
          <w:sz w:val="22"/>
          <w:szCs w:val="22"/>
          <w:lang w:val="ro-RO"/>
        </w:rPr>
        <w:t>15</w:t>
      </w:r>
      <w:r w:rsidR="00F93043"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F93043">
        <w:rPr>
          <w:rFonts w:ascii="Tahoma" w:hAnsi="Tahoma" w:cs="Tahoma"/>
          <w:sz w:val="22"/>
          <w:szCs w:val="22"/>
          <w:lang w:val="ro-RO"/>
        </w:rPr>
        <w:t>16</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6F492FB1"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741E3">
        <w:rPr>
          <w:rFonts w:ascii="Tahoma" w:hAnsi="Tahoma" w:cs="Tahoma"/>
          <w:b/>
          <w:sz w:val="22"/>
          <w:szCs w:val="22"/>
          <w:lang w:val="ro-RO"/>
        </w:rPr>
        <w:t>10</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FD32B8">
        <w:rPr>
          <w:rFonts w:ascii="Tahoma" w:hAnsi="Tahoma" w:cs="Tahoma"/>
          <w:sz w:val="22"/>
          <w:szCs w:val="22"/>
          <w:lang w:val="ro-RO"/>
        </w:rPr>
        <w:t xml:space="preserve">prevăzută </w:t>
      </w:r>
      <w:r w:rsidR="005B46D8" w:rsidRPr="005B46D8">
        <w:rPr>
          <w:rFonts w:ascii="Tahoma" w:hAnsi="Tahoma" w:cs="Tahoma"/>
          <w:sz w:val="22"/>
          <w:szCs w:val="22"/>
          <w:lang w:val="ro-RO"/>
        </w:rPr>
        <w:t xml:space="preserve">în Anexa </w:t>
      </w:r>
      <w:r w:rsidR="005B46D8">
        <w:rPr>
          <w:rFonts w:ascii="Tahoma" w:hAnsi="Tahoma" w:cs="Tahoma"/>
          <w:sz w:val="22"/>
          <w:szCs w:val="22"/>
          <w:lang w:val="ro-RO"/>
        </w:rPr>
        <w:t xml:space="preserve">2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B46D8">
        <w:rPr>
          <w:rFonts w:ascii="Tahoma" w:hAnsi="Tahoma" w:cs="Tahoma"/>
          <w:sz w:val="22"/>
          <w:szCs w:val="22"/>
          <w:lang w:val="ro-RO"/>
        </w:rPr>
        <w:t>3</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65B77D41"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E741E3">
        <w:rPr>
          <w:rFonts w:ascii="Tahoma" w:hAnsi="Tahoma" w:cs="Tahoma"/>
          <w:b/>
          <w:sz w:val="22"/>
          <w:szCs w:val="22"/>
          <w:lang w:val="ro-RO"/>
        </w:rPr>
        <w:t>11</w:t>
      </w:r>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5656FE4F"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37275B">
        <w:rPr>
          <w:rFonts w:ascii="Tahoma" w:hAnsi="Tahoma" w:cs="Tahoma"/>
          <w:sz w:val="22"/>
          <w:szCs w:val="22"/>
          <w:lang w:val="ro-RO"/>
        </w:rPr>
        <w:t>10</w:t>
      </w:r>
      <w:r w:rsidR="0037275B" w:rsidRPr="00C975F8">
        <w:rPr>
          <w:lang w:val="es-PE"/>
        </w:rPr>
        <w:t xml:space="preserve"> </w:t>
      </w:r>
      <w:r w:rsidR="007516A7" w:rsidRPr="007516A7">
        <w:rPr>
          <w:rFonts w:ascii="Tahoma" w:hAnsi="Tahoma" w:cs="Tahoma"/>
          <w:sz w:val="22"/>
          <w:szCs w:val="22"/>
          <w:lang w:val="ro-RO"/>
        </w:rPr>
        <w:t xml:space="preserve">cel </w:t>
      </w:r>
      <w:r w:rsidR="0037275B" w:rsidRPr="007516A7">
        <w:rPr>
          <w:rFonts w:ascii="Tahoma" w:hAnsi="Tahoma" w:cs="Tahoma"/>
          <w:sz w:val="22"/>
          <w:szCs w:val="22"/>
          <w:lang w:val="ro-RO"/>
        </w:rPr>
        <w:t>t</w:t>
      </w:r>
      <w:r w:rsidR="0037275B">
        <w:rPr>
          <w:rFonts w:ascii="Tahoma" w:hAnsi="Tahoma" w:cs="Tahoma"/>
          <w:sz w:val="22"/>
          <w:szCs w:val="22"/>
          <w:lang w:val="ro-RO"/>
        </w:rPr>
        <w:t>â</w:t>
      </w:r>
      <w:r w:rsidR="0037275B" w:rsidRPr="007516A7">
        <w:rPr>
          <w:rFonts w:ascii="Tahoma" w:hAnsi="Tahoma" w:cs="Tahoma"/>
          <w:sz w:val="22"/>
          <w:szCs w:val="22"/>
          <w:lang w:val="ro-RO"/>
        </w:rPr>
        <w:t>rziu</w:t>
      </w:r>
      <w:r w:rsidR="0037275B" w:rsidRPr="00C43337">
        <w:rPr>
          <w:rFonts w:ascii="Tahoma" w:hAnsi="Tahoma" w:cs="Tahoma"/>
          <w:sz w:val="22"/>
          <w:szCs w:val="22"/>
          <w:lang w:val="ro-RO"/>
        </w:rPr>
        <w:t xml:space="preserve"> </w:t>
      </w:r>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2FF26C4A"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F93043" w:rsidRPr="007A4E53">
        <w:rPr>
          <w:rFonts w:ascii="Tahoma" w:hAnsi="Tahoma" w:cs="Tahoma"/>
          <w:sz w:val="22"/>
          <w:szCs w:val="22"/>
          <w:lang w:val="ro-RO"/>
        </w:rPr>
        <w:t>1</w:t>
      </w:r>
      <w:r w:rsidR="00F93043">
        <w:rPr>
          <w:rFonts w:ascii="Tahoma" w:hAnsi="Tahoma" w:cs="Tahoma"/>
          <w:sz w:val="22"/>
          <w:szCs w:val="22"/>
          <w:lang w:val="ro-RO"/>
        </w:rPr>
        <w:t>1</w:t>
      </w:r>
      <w:r w:rsidR="00F93043" w:rsidRPr="00C43337">
        <w:rPr>
          <w:rFonts w:ascii="Tahoma" w:hAnsi="Tahoma" w:cs="Tahoma"/>
          <w:sz w:val="22"/>
          <w:szCs w:val="22"/>
          <w:lang w:val="ro-RO"/>
        </w:rPr>
        <w:t xml:space="preserve"> </w:t>
      </w:r>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44583962"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E741E3">
        <w:rPr>
          <w:rFonts w:ascii="Tahoma" w:hAnsi="Tahoma" w:cs="Tahoma"/>
          <w:b/>
          <w:sz w:val="22"/>
          <w:szCs w:val="22"/>
          <w:lang w:val="ro-RO"/>
        </w:rPr>
        <w:t>12</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37275B">
        <w:rPr>
          <w:rFonts w:ascii="Tahoma" w:hAnsi="Tahoma" w:cs="Tahoma"/>
          <w:sz w:val="22"/>
          <w:szCs w:val="22"/>
          <w:lang w:val="ro-RO"/>
        </w:rPr>
        <w:t>11</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37275B">
        <w:rPr>
          <w:rFonts w:ascii="Tahoma" w:hAnsi="Tahoma" w:cs="Tahoma"/>
          <w:sz w:val="22"/>
          <w:szCs w:val="22"/>
          <w:lang w:val="ro-RO"/>
        </w:rPr>
        <w:t>14</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079E4E6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741E3">
        <w:rPr>
          <w:rFonts w:ascii="Tahoma" w:hAnsi="Tahoma" w:cs="Tahoma"/>
          <w:b/>
          <w:sz w:val="22"/>
          <w:szCs w:val="22"/>
          <w:lang w:val="ro-RO"/>
        </w:rPr>
        <w:t>13</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1EAE7700"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741E3">
        <w:rPr>
          <w:rFonts w:ascii="Tahoma" w:hAnsi="Tahoma" w:cs="Tahoma"/>
          <w:b/>
          <w:sz w:val="22"/>
          <w:szCs w:val="22"/>
          <w:lang w:val="ro-RO"/>
        </w:rPr>
        <w:t>14</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ED3B12" w:rsidRPr="007A4E53">
        <w:rPr>
          <w:rFonts w:ascii="Tahoma" w:hAnsi="Tahoma" w:cs="Tahoma"/>
          <w:sz w:val="22"/>
          <w:szCs w:val="22"/>
          <w:lang w:val="ro-RO"/>
        </w:rPr>
        <w:t>1</w:t>
      </w:r>
      <w:r w:rsidR="0037275B">
        <w:rPr>
          <w:rFonts w:ascii="Tahoma" w:hAnsi="Tahoma" w:cs="Tahoma"/>
          <w:sz w:val="22"/>
          <w:szCs w:val="22"/>
          <w:lang w:val="ro-RO"/>
        </w:rPr>
        <w:t>1</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FA2ED9">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2617F18D"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741E3">
        <w:rPr>
          <w:rFonts w:ascii="Tahoma" w:hAnsi="Tahoma" w:cs="Tahoma"/>
          <w:b/>
          <w:sz w:val="22"/>
          <w:szCs w:val="22"/>
          <w:lang w:val="ro-RO"/>
        </w:rPr>
        <w:t>15</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252D3F7D" w14:textId="77777777" w:rsidR="00CD68C2" w:rsidRPr="00CD68C2" w:rsidRDefault="00CD68C2" w:rsidP="007B42F6">
      <w:pPr>
        <w:spacing w:after="200" w:line="276" w:lineRule="auto"/>
        <w:ind w:firstLine="720"/>
        <w:jc w:val="both"/>
        <w:rPr>
          <w:rFonts w:ascii="Tahoma" w:eastAsia="MS Mincho" w:hAnsi="Tahoma" w:cs="Tahoma"/>
          <w:noProof w:val="0"/>
          <w:sz w:val="22"/>
          <w:szCs w:val="22"/>
          <w:lang w:val="ro-RO"/>
        </w:rPr>
      </w:pPr>
      <w:r w:rsidRPr="00CD68C2">
        <w:rPr>
          <w:rFonts w:ascii="Tahoma" w:eastAsia="MS Mincho" w:hAnsi="Tahoma" w:cs="Tahoma"/>
          <w:noProof w:val="0"/>
          <w:sz w:val="22"/>
          <w:szCs w:val="22"/>
          <w:lang w:val="ro-RO"/>
        </w:rPr>
        <w:t xml:space="preserve">(i) pentru perioade de livrare de </w:t>
      </w:r>
      <w:r w:rsidRPr="00CD68C2">
        <w:rPr>
          <w:rFonts w:ascii="Tahoma" w:eastAsia="MS Mincho" w:hAnsi="Tahoma" w:cs="Tahoma"/>
          <w:b/>
          <w:bCs/>
          <w:noProof w:val="0"/>
          <w:sz w:val="22"/>
          <w:szCs w:val="22"/>
          <w:lang w:val="ro-RO"/>
        </w:rPr>
        <w:t xml:space="preserve">o lună calendaristică </w:t>
      </w:r>
      <w:r w:rsidRPr="00CD68C2">
        <w:rPr>
          <w:rFonts w:ascii="Tahoma" w:eastAsia="MS Mincho" w:hAnsi="Tahoma" w:cs="Tahoma"/>
          <w:noProof w:val="0"/>
          <w:sz w:val="22"/>
          <w:szCs w:val="22"/>
          <w:lang w:val="ro-RO"/>
        </w:rPr>
        <w:t>valoarea garanţiei este egală cu contravaloarea energiei electrice contractate calculată pentru luna calendaristica de livrare respectiv:</w:t>
      </w:r>
    </w:p>
    <w:p w14:paraId="53E96BF6" w14:textId="77777777" w:rsidR="00CD68C2" w:rsidRPr="00CD68C2" w:rsidRDefault="00CD68C2" w:rsidP="00CD68C2">
      <w:pPr>
        <w:spacing w:after="200" w:line="276" w:lineRule="auto"/>
        <w:jc w:val="both"/>
        <w:rPr>
          <w:rFonts w:ascii="Tahoma" w:eastAsia="MS Mincho" w:hAnsi="Tahoma" w:cs="Tahoma"/>
          <w:noProof w:val="0"/>
          <w:sz w:val="22"/>
          <w:szCs w:val="22"/>
          <w:lang w:val="ro-RO"/>
        </w:rPr>
      </w:pPr>
      <w:r w:rsidRPr="00CD68C2">
        <w:rPr>
          <w:rFonts w:ascii="Tahoma" w:eastAsia="MS Mincho" w:hAnsi="Tahoma" w:cs="Tahoma"/>
          <w:noProof w:val="0"/>
          <w:sz w:val="22"/>
          <w:szCs w:val="22"/>
          <w:lang w:val="ro-RO"/>
        </w:rPr>
        <w:t xml:space="preserve">Valoarea scrisorii de garanţie bancară = Cantitatea de energie electrică corespunzătoare celor .... </w:t>
      </w:r>
      <w:r w:rsidRPr="00CD68C2">
        <w:rPr>
          <w:rFonts w:ascii="Tahoma" w:eastAsia="MS Mincho" w:hAnsi="Tahoma" w:cs="Tahoma"/>
          <w:b/>
          <w:bCs/>
          <w:noProof w:val="0"/>
          <w:sz w:val="22"/>
          <w:szCs w:val="22"/>
          <w:lang w:val="ro-RO"/>
        </w:rPr>
        <w:t>zile calendaristice ale lunii de livrare</w:t>
      </w:r>
      <w:r w:rsidRPr="00CD68C2">
        <w:rPr>
          <w:rFonts w:ascii="Tahoma" w:eastAsia="MS Mincho" w:hAnsi="Tahoma" w:cs="Tahoma"/>
          <w:noProof w:val="0"/>
          <w:sz w:val="22"/>
          <w:szCs w:val="22"/>
          <w:lang w:val="ro-RO"/>
        </w:rPr>
        <w:t xml:space="preserve"> x preţ contract + valoare TVA, în cazul în care este aplicabilă.</w:t>
      </w:r>
    </w:p>
    <w:p w14:paraId="688F610E" w14:textId="7F9A6AB0" w:rsidR="00CD68C2" w:rsidRPr="00CD68C2" w:rsidRDefault="00CD68C2" w:rsidP="007B42F6">
      <w:pPr>
        <w:spacing w:after="200" w:line="276" w:lineRule="auto"/>
        <w:ind w:firstLine="720"/>
        <w:jc w:val="both"/>
        <w:rPr>
          <w:rFonts w:ascii="Tahoma" w:eastAsia="MS Mincho" w:hAnsi="Tahoma" w:cs="Tahoma"/>
          <w:noProof w:val="0"/>
          <w:sz w:val="22"/>
          <w:szCs w:val="22"/>
          <w:lang w:val="ro-RO"/>
        </w:rPr>
      </w:pPr>
      <w:r w:rsidRPr="00CD68C2">
        <w:rPr>
          <w:rFonts w:ascii="Tahoma" w:eastAsia="MS Mincho" w:hAnsi="Tahoma" w:cs="Tahoma"/>
          <w:noProof w:val="0"/>
          <w:sz w:val="22"/>
          <w:szCs w:val="22"/>
          <w:lang w:val="ro-RO"/>
        </w:rPr>
        <w:lastRenderedPageBreak/>
        <w:t xml:space="preserve">(ii) pentru perioade de livrare </w:t>
      </w:r>
      <w:r w:rsidRPr="00CD68C2">
        <w:rPr>
          <w:rFonts w:ascii="Tahoma" w:eastAsia="MS Mincho" w:hAnsi="Tahoma" w:cs="Tahoma"/>
          <w:b/>
          <w:bCs/>
          <w:noProof w:val="0"/>
          <w:sz w:val="22"/>
          <w:szCs w:val="22"/>
          <w:lang w:val="ro-RO"/>
        </w:rPr>
        <w:t>mai mari de o lun</w:t>
      </w:r>
      <w:r w:rsidR="002B6553">
        <w:rPr>
          <w:rFonts w:ascii="Tahoma" w:eastAsia="MS Mincho" w:hAnsi="Tahoma" w:cs="Tahoma"/>
          <w:b/>
          <w:bCs/>
          <w:noProof w:val="0"/>
          <w:sz w:val="22"/>
          <w:szCs w:val="22"/>
          <w:lang w:val="ro-RO"/>
        </w:rPr>
        <w:t>ă</w:t>
      </w:r>
      <w:r w:rsidRPr="00CD68C2">
        <w:rPr>
          <w:rFonts w:ascii="Tahoma" w:eastAsia="MS Mincho" w:hAnsi="Tahoma" w:cs="Tahoma"/>
          <w:b/>
          <w:bCs/>
          <w:noProof w:val="0"/>
          <w:sz w:val="22"/>
          <w:szCs w:val="22"/>
          <w:lang w:val="ro-RO"/>
        </w:rPr>
        <w:t xml:space="preserve"> </w:t>
      </w:r>
      <w:r w:rsidRPr="00CD68C2">
        <w:rPr>
          <w:rFonts w:ascii="Tahoma" w:eastAsia="MS Mincho" w:hAnsi="Tahoma" w:cs="Tahoma"/>
          <w:noProof w:val="0"/>
          <w:sz w:val="22"/>
          <w:szCs w:val="22"/>
          <w:lang w:val="ro-RO"/>
        </w:rPr>
        <w:t xml:space="preserve">valoarea garanţiei este egală cu contravaloarea energiei electrice contractate calculată pentru </w:t>
      </w:r>
      <w:r w:rsidRPr="00CD68C2">
        <w:rPr>
          <w:rFonts w:ascii="Tahoma" w:eastAsia="MS Mincho" w:hAnsi="Tahoma" w:cs="Tahoma"/>
          <w:b/>
          <w:bCs/>
          <w:noProof w:val="0"/>
          <w:sz w:val="22"/>
          <w:szCs w:val="22"/>
          <w:lang w:val="ro-RO"/>
        </w:rPr>
        <w:t>58</w:t>
      </w:r>
      <w:r w:rsidRPr="00CD68C2">
        <w:rPr>
          <w:rFonts w:ascii="Tahoma" w:eastAsia="MS Mincho" w:hAnsi="Tahoma" w:cs="Tahoma"/>
          <w:noProof w:val="0"/>
          <w:sz w:val="22"/>
          <w:szCs w:val="22"/>
          <w:lang w:val="ro-RO"/>
        </w:rPr>
        <w:t xml:space="preserve"> de zile calendaristice, respectiv: </w:t>
      </w:r>
    </w:p>
    <w:p w14:paraId="5F8B3398" w14:textId="61FBD22E" w:rsidR="00CD68C2" w:rsidRPr="00CD68C2" w:rsidRDefault="00CD68C2" w:rsidP="00CD68C2">
      <w:pPr>
        <w:spacing w:after="200" w:line="276" w:lineRule="auto"/>
        <w:jc w:val="both"/>
        <w:rPr>
          <w:rFonts w:ascii="Tahoma" w:eastAsia="MS Mincho" w:hAnsi="Tahoma" w:cs="Tahoma"/>
          <w:noProof w:val="0"/>
          <w:sz w:val="22"/>
          <w:szCs w:val="22"/>
          <w:lang w:val="ro-RO"/>
        </w:rPr>
      </w:pPr>
      <w:r w:rsidRPr="00CD68C2">
        <w:rPr>
          <w:rFonts w:ascii="Tahoma" w:eastAsia="MS Mincho" w:hAnsi="Tahoma" w:cs="Tahoma"/>
          <w:noProof w:val="0"/>
          <w:sz w:val="22"/>
          <w:szCs w:val="22"/>
          <w:lang w:val="ro-RO"/>
        </w:rPr>
        <w:t>Valoarea scrisorii de garanţie bancară = Cantitatea de energie electrică corespunz</w:t>
      </w:r>
      <w:r w:rsidR="00A62367">
        <w:rPr>
          <w:rFonts w:ascii="Tahoma" w:eastAsia="MS Mincho" w:hAnsi="Tahoma" w:cs="Tahoma"/>
          <w:noProof w:val="0"/>
          <w:sz w:val="22"/>
          <w:szCs w:val="22"/>
          <w:lang w:val="ro-RO"/>
        </w:rPr>
        <w:t>ă</w:t>
      </w:r>
      <w:r w:rsidRPr="00CD68C2">
        <w:rPr>
          <w:rFonts w:ascii="Tahoma" w:eastAsia="MS Mincho" w:hAnsi="Tahoma" w:cs="Tahoma"/>
          <w:noProof w:val="0"/>
          <w:sz w:val="22"/>
          <w:szCs w:val="22"/>
          <w:lang w:val="ro-RO"/>
        </w:rPr>
        <w:t>toare celor</w:t>
      </w:r>
      <w:r w:rsidRPr="00CD68C2">
        <w:rPr>
          <w:rFonts w:ascii="Tahoma" w:eastAsia="MS Mincho" w:hAnsi="Tahoma" w:cs="Tahoma"/>
          <w:b/>
          <w:bCs/>
          <w:noProof w:val="0"/>
          <w:sz w:val="22"/>
          <w:szCs w:val="22"/>
          <w:lang w:val="ro-RO"/>
        </w:rPr>
        <w:t xml:space="preserve"> 58</w:t>
      </w:r>
      <w:r w:rsidRPr="00CD68C2">
        <w:rPr>
          <w:rFonts w:ascii="Tahoma" w:eastAsia="MS Mincho" w:hAnsi="Tahoma" w:cs="Tahoma"/>
          <w:noProof w:val="0"/>
          <w:sz w:val="22"/>
          <w:szCs w:val="22"/>
          <w:lang w:val="ro-RO"/>
        </w:rPr>
        <w:t xml:space="preserve"> de zile x preţ contract + valoare TVA, în cazul în care este aplicabilă.</w:t>
      </w:r>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177C0E34"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r w:rsidR="00CD68C2">
        <w:rPr>
          <w:rFonts w:ascii="Tahoma" w:hAnsi="Tahoma" w:cs="Tahoma"/>
          <w:sz w:val="22"/>
          <w:szCs w:val="22"/>
          <w:lang w:val="ro-RO"/>
        </w:rPr>
        <w:t>emiterii</w:t>
      </w:r>
      <w:r w:rsidR="00CD68C2" w:rsidRPr="00692FF2">
        <w:rPr>
          <w:rFonts w:ascii="Tahoma" w:hAnsi="Tahoma" w:cs="Tahoma"/>
          <w:sz w:val="22"/>
          <w:szCs w:val="22"/>
          <w:lang w:val="ro-RO"/>
        </w:rPr>
        <w:t xml:space="preserve"> </w:t>
      </w:r>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6C25A257" w:rsidR="006A218D" w:rsidRDefault="006A218D"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C5D13">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0D399E8F"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E741E3" w:rsidRPr="00BD389D">
        <w:rPr>
          <w:rFonts w:ascii="Tahoma" w:hAnsi="Tahoma" w:cs="Tahoma"/>
          <w:b/>
          <w:sz w:val="22"/>
          <w:szCs w:val="22"/>
          <w:lang w:val="ro-RO"/>
        </w:rPr>
        <w:t>1</w:t>
      </w:r>
      <w:r w:rsidR="00E741E3">
        <w:rPr>
          <w:rFonts w:ascii="Tahoma" w:hAnsi="Tahoma" w:cs="Tahoma"/>
          <w:b/>
          <w:sz w:val="22"/>
          <w:szCs w:val="22"/>
          <w:lang w:val="ro-RO"/>
        </w:rPr>
        <w:t>6</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32D676AB" w14:textId="77777777" w:rsidR="008129F0" w:rsidRPr="008129F0" w:rsidRDefault="008129F0" w:rsidP="008129F0">
      <w:pPr>
        <w:pStyle w:val="BodyText"/>
        <w:spacing w:before="120" w:after="120"/>
        <w:jc w:val="both"/>
        <w:rPr>
          <w:rFonts w:ascii="Tahoma" w:hAnsi="Tahoma" w:cs="Tahoma"/>
          <w:sz w:val="22"/>
          <w:szCs w:val="22"/>
          <w:lang w:val="ro-RO"/>
        </w:rPr>
      </w:pPr>
      <w:r w:rsidRPr="008129F0">
        <w:rPr>
          <w:rFonts w:ascii="Tahoma" w:hAnsi="Tahoma" w:cs="Tahoma"/>
          <w:sz w:val="22"/>
          <w:szCs w:val="22"/>
          <w:lang w:val="ro-RO"/>
        </w:rPr>
        <w:t>(2) Valoarea scrisorii de garanție bancară de bună execuţie se calculează dupa cum urmează:</w:t>
      </w:r>
    </w:p>
    <w:p w14:paraId="748A5DAA" w14:textId="77777777" w:rsidR="008129F0" w:rsidRPr="008129F0" w:rsidRDefault="008129F0" w:rsidP="007B42F6">
      <w:pPr>
        <w:pStyle w:val="BodyText"/>
        <w:spacing w:before="120" w:after="120"/>
        <w:ind w:firstLine="720"/>
        <w:jc w:val="both"/>
        <w:rPr>
          <w:rFonts w:ascii="Tahoma" w:hAnsi="Tahoma" w:cs="Tahoma"/>
          <w:sz w:val="22"/>
          <w:szCs w:val="22"/>
          <w:lang w:val="ro-RO"/>
        </w:rPr>
      </w:pPr>
      <w:r w:rsidRPr="008129F0">
        <w:rPr>
          <w:rFonts w:ascii="Tahoma" w:hAnsi="Tahoma" w:cs="Tahoma"/>
          <w:sz w:val="22"/>
          <w:szCs w:val="22"/>
          <w:lang w:val="ro-RO"/>
        </w:rPr>
        <w:t xml:space="preserve">(i) pentru perioade de livrare de </w:t>
      </w:r>
      <w:r w:rsidRPr="007B42F6">
        <w:rPr>
          <w:rFonts w:ascii="Tahoma" w:hAnsi="Tahoma" w:cs="Tahoma"/>
          <w:b/>
          <w:bCs/>
          <w:sz w:val="22"/>
          <w:szCs w:val="22"/>
          <w:lang w:val="ro-RO"/>
        </w:rPr>
        <w:t>maxim un trimestru</w:t>
      </w:r>
      <w:r w:rsidRPr="008129F0">
        <w:rPr>
          <w:rFonts w:ascii="Tahoma" w:hAnsi="Tahoma" w:cs="Tahoma"/>
          <w:sz w:val="22"/>
          <w:szCs w:val="22"/>
          <w:lang w:val="ro-RO"/>
        </w:rPr>
        <w:t xml:space="preserve"> valoarea garanţiei este egală cu </w:t>
      </w:r>
      <w:r w:rsidRPr="007B42F6">
        <w:rPr>
          <w:rFonts w:ascii="Tahoma" w:hAnsi="Tahoma" w:cs="Tahoma"/>
          <w:b/>
          <w:bCs/>
          <w:sz w:val="22"/>
          <w:szCs w:val="22"/>
          <w:lang w:val="ro-RO"/>
        </w:rPr>
        <w:t>23%</w:t>
      </w:r>
      <w:r w:rsidRPr="008129F0">
        <w:rPr>
          <w:rFonts w:ascii="Tahoma" w:hAnsi="Tahoma" w:cs="Tahoma"/>
          <w:sz w:val="22"/>
          <w:szCs w:val="22"/>
          <w:lang w:val="ro-RO"/>
        </w:rPr>
        <w:t xml:space="preserve"> din contravaloarea energiei electrice contractate, respectiv:</w:t>
      </w:r>
    </w:p>
    <w:p w14:paraId="7B38462E" w14:textId="77777777" w:rsidR="008129F0" w:rsidRPr="008129F0" w:rsidRDefault="008129F0" w:rsidP="008129F0">
      <w:pPr>
        <w:pStyle w:val="BodyText"/>
        <w:spacing w:before="120" w:after="120"/>
        <w:jc w:val="both"/>
        <w:rPr>
          <w:rFonts w:ascii="Tahoma" w:hAnsi="Tahoma" w:cs="Tahoma"/>
          <w:sz w:val="22"/>
          <w:szCs w:val="22"/>
          <w:lang w:val="ro-RO"/>
        </w:rPr>
      </w:pPr>
      <w:r w:rsidRPr="008129F0">
        <w:rPr>
          <w:rFonts w:ascii="Tahoma" w:hAnsi="Tahoma" w:cs="Tahoma"/>
          <w:sz w:val="22"/>
          <w:szCs w:val="22"/>
          <w:lang w:val="ro-RO"/>
        </w:rPr>
        <w:t xml:space="preserve">Valoarea scrisorii de garanţie bancară de bună execuţie = </w:t>
      </w:r>
      <w:r w:rsidRPr="007B42F6">
        <w:rPr>
          <w:rFonts w:ascii="Tahoma" w:hAnsi="Tahoma" w:cs="Tahoma"/>
          <w:b/>
          <w:bCs/>
          <w:sz w:val="22"/>
          <w:szCs w:val="22"/>
          <w:lang w:val="ro-RO"/>
        </w:rPr>
        <w:t>23%</w:t>
      </w:r>
      <w:r w:rsidRPr="008129F0">
        <w:rPr>
          <w:rFonts w:ascii="Tahoma" w:hAnsi="Tahoma" w:cs="Tahoma"/>
          <w:sz w:val="22"/>
          <w:szCs w:val="22"/>
          <w:lang w:val="ro-RO"/>
        </w:rPr>
        <w:t xml:space="preserve"> x Cantitatea de energie electrică contractată x preț contract + valoare TVA, în cazul în care este aplicabilă.</w:t>
      </w:r>
    </w:p>
    <w:p w14:paraId="67D44723" w14:textId="77777777" w:rsidR="008129F0" w:rsidRPr="008129F0" w:rsidRDefault="008129F0" w:rsidP="007B42F6">
      <w:pPr>
        <w:pStyle w:val="BodyText"/>
        <w:spacing w:before="120" w:after="120"/>
        <w:ind w:firstLine="720"/>
        <w:jc w:val="both"/>
        <w:rPr>
          <w:rFonts w:ascii="Tahoma" w:hAnsi="Tahoma" w:cs="Tahoma"/>
          <w:sz w:val="22"/>
          <w:szCs w:val="22"/>
          <w:lang w:val="ro-RO"/>
        </w:rPr>
      </w:pPr>
      <w:r w:rsidRPr="008129F0">
        <w:rPr>
          <w:rFonts w:ascii="Tahoma" w:hAnsi="Tahoma" w:cs="Tahoma"/>
          <w:sz w:val="22"/>
          <w:szCs w:val="22"/>
          <w:lang w:val="ro-RO"/>
        </w:rPr>
        <w:t xml:space="preserve">(ii) pentru perioade de livrare </w:t>
      </w:r>
      <w:r w:rsidRPr="007B42F6">
        <w:rPr>
          <w:rFonts w:ascii="Tahoma" w:hAnsi="Tahoma" w:cs="Tahoma"/>
          <w:b/>
          <w:bCs/>
          <w:sz w:val="22"/>
          <w:szCs w:val="22"/>
          <w:lang w:val="ro-RO"/>
        </w:rPr>
        <w:t>mai mari de un trimestru și de maxim un semestru</w:t>
      </w:r>
      <w:r w:rsidRPr="008129F0">
        <w:rPr>
          <w:rFonts w:ascii="Tahoma" w:hAnsi="Tahoma" w:cs="Tahoma"/>
          <w:sz w:val="22"/>
          <w:szCs w:val="22"/>
          <w:lang w:val="ro-RO"/>
        </w:rPr>
        <w:t xml:space="preserve"> valoarea garanţiei este egală cu </w:t>
      </w:r>
      <w:r w:rsidRPr="007B42F6">
        <w:rPr>
          <w:rFonts w:ascii="Tahoma" w:hAnsi="Tahoma" w:cs="Tahoma"/>
          <w:b/>
          <w:bCs/>
          <w:sz w:val="22"/>
          <w:szCs w:val="22"/>
          <w:lang w:val="ro-RO"/>
        </w:rPr>
        <w:t>23%</w:t>
      </w:r>
      <w:r w:rsidRPr="008129F0">
        <w:rPr>
          <w:rFonts w:ascii="Tahoma" w:hAnsi="Tahoma" w:cs="Tahoma"/>
          <w:sz w:val="22"/>
          <w:szCs w:val="22"/>
          <w:lang w:val="ro-RO"/>
        </w:rPr>
        <w:t xml:space="preserve"> din contravaloarea energiei electrice contractate, respectiv:</w:t>
      </w:r>
    </w:p>
    <w:p w14:paraId="55B9E6C6" w14:textId="77777777" w:rsidR="008129F0" w:rsidRPr="008129F0" w:rsidRDefault="008129F0" w:rsidP="008129F0">
      <w:pPr>
        <w:pStyle w:val="BodyText"/>
        <w:spacing w:before="120" w:after="120"/>
        <w:jc w:val="both"/>
        <w:rPr>
          <w:rFonts w:ascii="Tahoma" w:hAnsi="Tahoma" w:cs="Tahoma"/>
          <w:sz w:val="22"/>
          <w:szCs w:val="22"/>
          <w:lang w:val="ro-RO"/>
        </w:rPr>
      </w:pPr>
      <w:r w:rsidRPr="008129F0">
        <w:rPr>
          <w:rFonts w:ascii="Tahoma" w:hAnsi="Tahoma" w:cs="Tahoma"/>
          <w:sz w:val="22"/>
          <w:szCs w:val="22"/>
          <w:lang w:val="ro-RO"/>
        </w:rPr>
        <w:t xml:space="preserve">Valoarea scrisorii de garanţie bancară = </w:t>
      </w:r>
      <w:r w:rsidRPr="007B42F6">
        <w:rPr>
          <w:rFonts w:ascii="Tahoma" w:hAnsi="Tahoma" w:cs="Tahoma"/>
          <w:b/>
          <w:bCs/>
          <w:sz w:val="22"/>
          <w:szCs w:val="22"/>
          <w:lang w:val="ro-RO"/>
        </w:rPr>
        <w:t>23%</w:t>
      </w:r>
      <w:r w:rsidRPr="008129F0">
        <w:rPr>
          <w:rFonts w:ascii="Tahoma" w:hAnsi="Tahoma" w:cs="Tahoma"/>
          <w:sz w:val="22"/>
          <w:szCs w:val="22"/>
          <w:lang w:val="ro-RO"/>
        </w:rPr>
        <w:t xml:space="preserve"> x Cantitatea de energie electrică contractată x preț contract + valoare TVA, în cazul în care este aplicabilă.</w:t>
      </w:r>
    </w:p>
    <w:p w14:paraId="748DD6A9" w14:textId="77777777" w:rsidR="008129F0" w:rsidRPr="008129F0" w:rsidRDefault="008129F0" w:rsidP="007B42F6">
      <w:pPr>
        <w:pStyle w:val="BodyText"/>
        <w:spacing w:before="120" w:after="120"/>
        <w:ind w:firstLine="720"/>
        <w:jc w:val="both"/>
        <w:rPr>
          <w:rFonts w:ascii="Tahoma" w:hAnsi="Tahoma" w:cs="Tahoma"/>
          <w:sz w:val="22"/>
          <w:szCs w:val="22"/>
          <w:lang w:val="ro-RO"/>
        </w:rPr>
      </w:pPr>
      <w:r w:rsidRPr="008129F0">
        <w:rPr>
          <w:rFonts w:ascii="Tahoma" w:hAnsi="Tahoma" w:cs="Tahoma"/>
          <w:sz w:val="22"/>
          <w:szCs w:val="22"/>
          <w:lang w:val="ro-RO"/>
        </w:rPr>
        <w:t xml:space="preserve">(iii) pentru perioade de livrare </w:t>
      </w:r>
      <w:r w:rsidRPr="007B42F6">
        <w:rPr>
          <w:rFonts w:ascii="Tahoma" w:hAnsi="Tahoma" w:cs="Tahoma"/>
          <w:b/>
          <w:bCs/>
          <w:sz w:val="22"/>
          <w:szCs w:val="22"/>
          <w:lang w:val="ro-RO"/>
        </w:rPr>
        <w:t>mai mari de un semestru și de maxim un an</w:t>
      </w:r>
      <w:r w:rsidRPr="008129F0">
        <w:rPr>
          <w:rFonts w:ascii="Tahoma" w:hAnsi="Tahoma" w:cs="Tahoma"/>
          <w:sz w:val="22"/>
          <w:szCs w:val="22"/>
          <w:lang w:val="ro-RO"/>
        </w:rPr>
        <w:t xml:space="preserve"> valoarea garanţiei este egală cu </w:t>
      </w:r>
      <w:r w:rsidRPr="007B42F6">
        <w:rPr>
          <w:rFonts w:ascii="Tahoma" w:hAnsi="Tahoma" w:cs="Tahoma"/>
          <w:b/>
          <w:bCs/>
          <w:sz w:val="22"/>
          <w:szCs w:val="22"/>
          <w:lang w:val="ro-RO"/>
        </w:rPr>
        <w:t>5%</w:t>
      </w:r>
      <w:r w:rsidRPr="008129F0">
        <w:rPr>
          <w:rFonts w:ascii="Tahoma" w:hAnsi="Tahoma" w:cs="Tahoma"/>
          <w:sz w:val="22"/>
          <w:szCs w:val="22"/>
          <w:lang w:val="ro-RO"/>
        </w:rPr>
        <w:t xml:space="preserve"> din contravaloarea energiei electrice contractate, respectiv:</w:t>
      </w:r>
    </w:p>
    <w:p w14:paraId="00711619" w14:textId="77777777" w:rsidR="008129F0" w:rsidRPr="008129F0" w:rsidRDefault="008129F0" w:rsidP="008129F0">
      <w:pPr>
        <w:pStyle w:val="BodyText"/>
        <w:spacing w:before="120" w:after="120"/>
        <w:jc w:val="both"/>
        <w:rPr>
          <w:rFonts w:ascii="Tahoma" w:hAnsi="Tahoma" w:cs="Tahoma"/>
          <w:sz w:val="22"/>
          <w:szCs w:val="22"/>
          <w:lang w:val="ro-RO"/>
        </w:rPr>
      </w:pPr>
      <w:r w:rsidRPr="008129F0">
        <w:rPr>
          <w:rFonts w:ascii="Tahoma" w:hAnsi="Tahoma" w:cs="Tahoma"/>
          <w:sz w:val="22"/>
          <w:szCs w:val="22"/>
          <w:lang w:val="ro-RO"/>
        </w:rPr>
        <w:t xml:space="preserve">Valoarea scrisorii de garanţie bancară = </w:t>
      </w:r>
      <w:r w:rsidRPr="007B42F6">
        <w:rPr>
          <w:rFonts w:ascii="Tahoma" w:hAnsi="Tahoma" w:cs="Tahoma"/>
          <w:b/>
          <w:bCs/>
          <w:sz w:val="22"/>
          <w:szCs w:val="22"/>
          <w:lang w:val="ro-RO"/>
        </w:rPr>
        <w:t>5%</w:t>
      </w:r>
      <w:r w:rsidRPr="008129F0">
        <w:rPr>
          <w:rFonts w:ascii="Tahoma" w:hAnsi="Tahoma" w:cs="Tahoma"/>
          <w:sz w:val="22"/>
          <w:szCs w:val="22"/>
          <w:lang w:val="ro-RO"/>
        </w:rPr>
        <w:t xml:space="preserve"> x Cantitatea de energie electrică contractată x pret contract + valoare TVA, în cazul în care este aplicabilă.</w:t>
      </w:r>
    </w:p>
    <w:p w14:paraId="1F440451" w14:textId="77777777" w:rsidR="008129F0" w:rsidRPr="008129F0" w:rsidRDefault="008129F0" w:rsidP="007B42F6">
      <w:pPr>
        <w:pStyle w:val="BodyText"/>
        <w:spacing w:before="120" w:after="120"/>
        <w:ind w:firstLine="720"/>
        <w:jc w:val="both"/>
        <w:rPr>
          <w:rFonts w:ascii="Tahoma" w:hAnsi="Tahoma" w:cs="Tahoma"/>
          <w:sz w:val="22"/>
          <w:szCs w:val="22"/>
          <w:lang w:val="ro-RO"/>
        </w:rPr>
      </w:pPr>
      <w:r w:rsidRPr="008129F0">
        <w:rPr>
          <w:rFonts w:ascii="Tahoma" w:hAnsi="Tahoma" w:cs="Tahoma"/>
          <w:sz w:val="22"/>
          <w:szCs w:val="22"/>
          <w:lang w:val="ro-RO"/>
        </w:rPr>
        <w:t xml:space="preserve">(iv) pentru perioade de livrare </w:t>
      </w:r>
      <w:r w:rsidRPr="007B42F6">
        <w:rPr>
          <w:rFonts w:ascii="Tahoma" w:hAnsi="Tahoma" w:cs="Tahoma"/>
          <w:b/>
          <w:bCs/>
          <w:sz w:val="22"/>
          <w:szCs w:val="22"/>
          <w:lang w:val="ro-RO"/>
        </w:rPr>
        <w:t>mai mari de un an</w:t>
      </w:r>
      <w:r w:rsidRPr="008129F0">
        <w:rPr>
          <w:rFonts w:ascii="Tahoma" w:hAnsi="Tahoma" w:cs="Tahoma"/>
          <w:sz w:val="22"/>
          <w:szCs w:val="22"/>
          <w:lang w:val="ro-RO"/>
        </w:rPr>
        <w:t xml:space="preserve"> valoarea garanţiei este egală cu </w:t>
      </w:r>
      <w:r w:rsidRPr="007B42F6">
        <w:rPr>
          <w:rFonts w:ascii="Tahoma" w:hAnsi="Tahoma" w:cs="Tahoma"/>
          <w:b/>
          <w:bCs/>
          <w:sz w:val="22"/>
          <w:szCs w:val="22"/>
          <w:lang w:val="ro-RO"/>
        </w:rPr>
        <w:t>5%</w:t>
      </w:r>
      <w:r w:rsidRPr="008129F0">
        <w:rPr>
          <w:rFonts w:ascii="Tahoma" w:hAnsi="Tahoma" w:cs="Tahoma"/>
          <w:sz w:val="22"/>
          <w:szCs w:val="22"/>
          <w:lang w:val="ro-RO"/>
        </w:rPr>
        <w:t xml:space="preserve"> din contravaloarea energiei electrice contractate, respectiv:</w:t>
      </w:r>
    </w:p>
    <w:p w14:paraId="3F5AD8F0" w14:textId="5CBD9B15" w:rsidR="008129F0" w:rsidRPr="00BD389D" w:rsidRDefault="008129F0" w:rsidP="008129F0">
      <w:pPr>
        <w:pStyle w:val="BodyText"/>
        <w:spacing w:before="120" w:after="120"/>
        <w:jc w:val="both"/>
        <w:rPr>
          <w:rFonts w:ascii="Tahoma" w:hAnsi="Tahoma" w:cs="Tahoma"/>
          <w:sz w:val="22"/>
          <w:szCs w:val="22"/>
          <w:lang w:val="ro-RO"/>
        </w:rPr>
      </w:pPr>
      <w:r w:rsidRPr="008129F0">
        <w:rPr>
          <w:rFonts w:ascii="Tahoma" w:hAnsi="Tahoma" w:cs="Tahoma"/>
          <w:sz w:val="22"/>
          <w:szCs w:val="22"/>
          <w:lang w:val="ro-RO"/>
        </w:rPr>
        <w:t xml:space="preserve">Valoarea scrisorii de garanţie bancară = </w:t>
      </w:r>
      <w:r w:rsidRPr="007B42F6">
        <w:rPr>
          <w:rFonts w:ascii="Tahoma" w:hAnsi="Tahoma" w:cs="Tahoma"/>
          <w:b/>
          <w:bCs/>
          <w:sz w:val="22"/>
          <w:szCs w:val="22"/>
          <w:lang w:val="ro-RO"/>
        </w:rPr>
        <w:t>5%</w:t>
      </w:r>
      <w:r w:rsidRPr="008129F0">
        <w:rPr>
          <w:rFonts w:ascii="Tahoma" w:hAnsi="Tahoma" w:cs="Tahoma"/>
          <w:sz w:val="22"/>
          <w:szCs w:val="22"/>
          <w:lang w:val="ro-RO"/>
        </w:rPr>
        <w:t xml:space="preserve"> x Cantitatea de energie electrică contractată x preț contract + valoare TVA, în cazul în care este aplicabilă.</w:t>
      </w:r>
      <w:r w:rsidRPr="008129F0" w:rsidDel="008129F0">
        <w:rPr>
          <w:rFonts w:ascii="Tahoma" w:hAnsi="Tahoma" w:cs="Tahoma"/>
          <w:sz w:val="22"/>
          <w:szCs w:val="22"/>
          <w:lang w:val="ro-RO"/>
        </w:rPr>
        <w:t xml:space="preserve"> </w:t>
      </w:r>
    </w:p>
    <w:p w14:paraId="69BCC6F9" w14:textId="7F21319F"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DF3F74" w:rsidRPr="00BD389D">
        <w:rPr>
          <w:rFonts w:ascii="Tahoma" w:hAnsi="Tahoma" w:cs="Tahoma"/>
          <w:sz w:val="22"/>
          <w:szCs w:val="22"/>
          <w:lang w:val="ro-RO"/>
        </w:rPr>
        <w:t>garan</w:t>
      </w:r>
      <w:r w:rsidR="00DF3F74">
        <w:rPr>
          <w:rFonts w:ascii="Tahoma" w:hAnsi="Tahoma" w:cs="Tahoma"/>
          <w:sz w:val="22"/>
          <w:szCs w:val="22"/>
          <w:lang w:val="ro-RO"/>
        </w:rPr>
        <w:t>ț</w:t>
      </w:r>
      <w:r w:rsidR="00DF3F74" w:rsidRPr="00BD389D">
        <w:rPr>
          <w:rFonts w:ascii="Tahoma" w:hAnsi="Tahoma" w:cs="Tahoma"/>
          <w:sz w:val="22"/>
          <w:szCs w:val="22"/>
          <w:lang w:val="ro-RO"/>
        </w:rPr>
        <w:t>ie bancar</w:t>
      </w:r>
      <w:r w:rsidR="00DF3F74">
        <w:rPr>
          <w:rFonts w:ascii="Tahoma" w:hAnsi="Tahoma" w:cs="Tahoma"/>
          <w:sz w:val="22"/>
          <w:szCs w:val="22"/>
          <w:lang w:val="ro-RO"/>
        </w:rPr>
        <w:t>ă</w:t>
      </w:r>
      <w:r w:rsidR="00DF3F74" w:rsidRPr="00BD389D">
        <w:rPr>
          <w:rFonts w:ascii="Tahoma" w:hAnsi="Tahoma" w:cs="Tahoma"/>
          <w:sz w:val="22"/>
          <w:szCs w:val="22"/>
          <w:lang w:val="ro-RO"/>
        </w:rPr>
        <w:t xml:space="preserve">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377995BA"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r w:rsidR="001F7E56">
        <w:rPr>
          <w:rFonts w:ascii="Tahoma" w:hAnsi="Tahoma" w:cs="Tahoma"/>
          <w:sz w:val="22"/>
          <w:szCs w:val="22"/>
          <w:lang w:val="ro-RO"/>
        </w:rPr>
        <w:t>emiterii</w:t>
      </w:r>
      <w:r w:rsidR="001F7E56" w:rsidRPr="00692FF2">
        <w:rPr>
          <w:rFonts w:ascii="Tahoma" w:hAnsi="Tahoma" w:cs="Tahoma"/>
          <w:sz w:val="22"/>
          <w:szCs w:val="22"/>
          <w:lang w:val="ro-RO"/>
        </w:rPr>
        <w:t xml:space="preserve"> </w:t>
      </w:r>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27686CE0"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5BF6AD6E" w14:textId="7F98FA3C" w:rsidR="008624D0" w:rsidRPr="00BD389D" w:rsidRDefault="008624D0" w:rsidP="00FA2ED9">
      <w:pPr>
        <w:spacing w:before="100" w:beforeAutospacing="1" w:after="100" w:afterAutospacing="1"/>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4E71C8E0"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E741E3" w:rsidRPr="00BD389D">
        <w:rPr>
          <w:rFonts w:ascii="Tahoma" w:hAnsi="Tahoma" w:cs="Tahoma"/>
          <w:b/>
          <w:sz w:val="22"/>
          <w:szCs w:val="22"/>
          <w:lang w:val="ro-RO"/>
        </w:rPr>
        <w:t>1</w:t>
      </w:r>
      <w:r w:rsidR="00E741E3">
        <w:rPr>
          <w:rFonts w:ascii="Tahoma" w:hAnsi="Tahoma" w:cs="Tahoma"/>
          <w:b/>
          <w:sz w:val="22"/>
          <w:szCs w:val="22"/>
          <w:lang w:val="ro-RO"/>
        </w:rPr>
        <w:t>7</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3DD23847"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r w:rsidR="0037275B" w:rsidRPr="003821AE">
        <w:rPr>
          <w:rFonts w:ascii="Tahoma" w:hAnsi="Tahoma" w:cs="Tahoma"/>
          <w:sz w:val="22"/>
          <w:szCs w:val="22"/>
          <w:lang w:val="ro-RO"/>
        </w:rPr>
        <w:t>2</w:t>
      </w:r>
      <w:r w:rsidR="0037275B">
        <w:rPr>
          <w:rFonts w:ascii="Tahoma" w:hAnsi="Tahoma" w:cs="Tahoma"/>
          <w:sz w:val="22"/>
          <w:szCs w:val="22"/>
          <w:lang w:val="ro-RO"/>
        </w:rPr>
        <w:t>5</w:t>
      </w:r>
      <w:r w:rsidR="0037275B" w:rsidRPr="00C72188">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765385FE"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37275B" w:rsidRPr="00BD389D">
        <w:rPr>
          <w:rFonts w:ascii="Tahoma" w:hAnsi="Tahoma" w:cs="Tahoma"/>
          <w:sz w:val="22"/>
          <w:szCs w:val="22"/>
          <w:lang w:val="ro-RO"/>
        </w:rPr>
        <w:t>1</w:t>
      </w:r>
      <w:r w:rsidR="0037275B">
        <w:rPr>
          <w:rFonts w:ascii="Tahoma" w:hAnsi="Tahoma" w:cs="Tahoma"/>
          <w:sz w:val="22"/>
          <w:szCs w:val="22"/>
          <w:lang w:val="ro-RO"/>
        </w:rPr>
        <w:t>6</w:t>
      </w:r>
      <w:r w:rsidR="0037275B" w:rsidRPr="00BD389D">
        <w:rPr>
          <w:rFonts w:ascii="Tahoma" w:hAnsi="Tahoma" w:cs="Tahoma"/>
          <w:sz w:val="22"/>
          <w:szCs w:val="22"/>
          <w:lang w:val="ro-RO"/>
        </w:rPr>
        <w:t xml:space="preserve"> </w:t>
      </w:r>
      <w:r w:rsidR="00C14AF6" w:rsidRPr="00BD389D">
        <w:rPr>
          <w:rFonts w:ascii="Tahoma" w:hAnsi="Tahoma" w:cs="Tahoma"/>
          <w:sz w:val="22"/>
          <w:szCs w:val="22"/>
          <w:lang w:val="ro-RO"/>
        </w:rPr>
        <w:t>alin. (5)</w:t>
      </w:r>
      <w:r w:rsidR="006E29A3" w:rsidRPr="006E29A3">
        <w:t xml:space="preserve"> </w:t>
      </w:r>
      <w:r w:rsidR="006E29A3" w:rsidRPr="006E29A3">
        <w:rPr>
          <w:rFonts w:ascii="Tahoma" w:hAnsi="Tahoma" w:cs="Tahoma"/>
          <w:sz w:val="22"/>
          <w:szCs w:val="22"/>
          <w:lang w:val="ro-RO"/>
        </w:rPr>
        <w:t>şi în condiţiile specificate la art. 1</w:t>
      </w:r>
      <w:r w:rsidR="006E29A3">
        <w:rPr>
          <w:rFonts w:ascii="Tahoma" w:hAnsi="Tahoma" w:cs="Tahoma"/>
          <w:sz w:val="22"/>
          <w:szCs w:val="22"/>
          <w:lang w:val="ro-RO"/>
        </w:rPr>
        <w:t>6</w:t>
      </w:r>
      <w:r w:rsidR="006E29A3" w:rsidRPr="006E29A3">
        <w:rPr>
          <w:rFonts w:ascii="Tahoma" w:hAnsi="Tahoma" w:cs="Tahoma"/>
          <w:sz w:val="22"/>
          <w:szCs w:val="22"/>
          <w:lang w:val="ro-RO"/>
        </w:rPr>
        <w:t>, alin.(1), (2) și (3)</w:t>
      </w:r>
      <w:r w:rsidRPr="00BD389D">
        <w:rPr>
          <w:rFonts w:ascii="Tahoma" w:hAnsi="Tahoma" w:cs="Tahoma"/>
          <w:sz w:val="22"/>
          <w:szCs w:val="22"/>
          <w:lang w:val="ro-RO"/>
        </w:rPr>
        <w:t>;</w:t>
      </w:r>
    </w:p>
    <w:p w14:paraId="06492417" w14:textId="7D48588E"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E741E3" w:rsidRPr="00BD389D">
        <w:rPr>
          <w:rFonts w:ascii="Tahoma" w:hAnsi="Tahoma" w:cs="Tahoma"/>
          <w:b/>
          <w:sz w:val="22"/>
          <w:szCs w:val="22"/>
          <w:lang w:val="ro-RO"/>
        </w:rPr>
        <w:t>1</w:t>
      </w:r>
      <w:r w:rsidR="00E741E3">
        <w:rPr>
          <w:rFonts w:ascii="Tahoma" w:hAnsi="Tahoma" w:cs="Tahoma"/>
          <w:b/>
          <w:sz w:val="22"/>
          <w:szCs w:val="22"/>
          <w:lang w:val="ro-RO"/>
        </w:rPr>
        <w:t>8</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5BD60AB9"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37275B" w:rsidRPr="00BD389D">
        <w:rPr>
          <w:rFonts w:ascii="Tahoma" w:hAnsi="Tahoma" w:cs="Tahoma"/>
          <w:sz w:val="22"/>
          <w:szCs w:val="22"/>
          <w:lang w:val="ro-RO"/>
        </w:rPr>
        <w:t>2</w:t>
      </w:r>
      <w:r w:rsidR="0037275B">
        <w:rPr>
          <w:rFonts w:ascii="Tahoma" w:hAnsi="Tahoma" w:cs="Tahoma"/>
          <w:sz w:val="22"/>
          <w:szCs w:val="22"/>
          <w:lang w:val="ro-RO"/>
        </w:rPr>
        <w:t>4</w:t>
      </w:r>
      <w:r w:rsidR="0037275B"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BC779E" w:rsidRPr="00BD389D">
        <w:rPr>
          <w:rFonts w:ascii="Tahoma" w:hAnsi="Tahoma" w:cs="Tahoma"/>
          <w:sz w:val="22"/>
          <w:szCs w:val="22"/>
          <w:lang w:val="ro-RO"/>
        </w:rPr>
        <w:t>1</w:t>
      </w:r>
      <w:r w:rsidR="00BC779E">
        <w:rPr>
          <w:rFonts w:ascii="Tahoma" w:hAnsi="Tahoma" w:cs="Tahoma"/>
          <w:sz w:val="22"/>
          <w:szCs w:val="22"/>
          <w:lang w:val="ro-RO"/>
        </w:rPr>
        <w:t>4</w:t>
      </w:r>
      <w:r w:rsidR="000861B2" w:rsidRPr="00BD389D">
        <w:rPr>
          <w:rFonts w:ascii="Tahoma" w:hAnsi="Tahoma" w:cs="Tahoma"/>
          <w:sz w:val="22"/>
          <w:szCs w:val="22"/>
          <w:lang w:val="ro-RO"/>
        </w:rPr>
        <w:t>;</w:t>
      </w:r>
    </w:p>
    <w:p w14:paraId="00FDF3C3" w14:textId="01B4CEAF" w:rsidR="002808CE" w:rsidRPr="00BD389D" w:rsidRDefault="001F7E56" w:rsidP="00B24990">
      <w:pPr>
        <w:pStyle w:val="BodyText"/>
        <w:numPr>
          <w:ilvl w:val="0"/>
          <w:numId w:val="47"/>
        </w:numPr>
        <w:spacing w:before="120" w:after="120"/>
        <w:ind w:left="1134" w:hanging="425"/>
        <w:jc w:val="both"/>
        <w:rPr>
          <w:rFonts w:ascii="Tahoma" w:hAnsi="Tahoma" w:cs="Tahoma"/>
          <w:sz w:val="22"/>
          <w:szCs w:val="22"/>
          <w:lang w:val="ro-RO"/>
        </w:rPr>
      </w:pPr>
      <w:r w:rsidRPr="001F7E56">
        <w:rPr>
          <w:rFonts w:ascii="Tahoma" w:hAnsi="Tahoma" w:cs="Tahoma"/>
          <w:sz w:val="22"/>
          <w:szCs w:val="22"/>
          <w:lang w:val="ro-RO"/>
        </w:rPr>
        <w:t>să încaseze compensaţia şi/sau sumele prevăzute la art. 2</w:t>
      </w:r>
      <w:r w:rsidR="00605B28">
        <w:rPr>
          <w:rFonts w:ascii="Tahoma" w:hAnsi="Tahoma" w:cs="Tahoma"/>
          <w:sz w:val="22"/>
          <w:szCs w:val="22"/>
          <w:lang w:val="ro-RO"/>
        </w:rPr>
        <w:t>5</w:t>
      </w:r>
      <w:r w:rsidRPr="001F7E56">
        <w:rPr>
          <w:rFonts w:ascii="Tahoma" w:hAnsi="Tahoma" w:cs="Tahoma"/>
          <w:sz w:val="22"/>
          <w:szCs w:val="22"/>
          <w:lang w:val="ro-RO"/>
        </w:rPr>
        <w:t>, respectiv să execute garanţia bancară ca urmare a neplăţii acestora, în cazul în care Cumpărătorul a determinat prin culpa sa rezilierea contractului.</w:t>
      </w:r>
    </w:p>
    <w:p w14:paraId="297D2BAD" w14:textId="1069BAF6"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E741E3">
        <w:rPr>
          <w:rFonts w:ascii="Tahoma" w:hAnsi="Tahoma" w:cs="Tahoma"/>
          <w:b/>
          <w:sz w:val="22"/>
          <w:szCs w:val="22"/>
          <w:lang w:val="ro-RO"/>
        </w:rPr>
        <w:t>19</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1953790F" w:rsidR="000861B2" w:rsidRDefault="00605B28" w:rsidP="00B24990">
      <w:pPr>
        <w:pStyle w:val="BodyText"/>
        <w:numPr>
          <w:ilvl w:val="0"/>
          <w:numId w:val="34"/>
        </w:numPr>
        <w:spacing w:before="120" w:after="120"/>
        <w:ind w:left="1134" w:hanging="425"/>
        <w:jc w:val="both"/>
        <w:rPr>
          <w:rFonts w:ascii="Tahoma" w:hAnsi="Tahoma" w:cs="Tahoma"/>
          <w:sz w:val="22"/>
          <w:szCs w:val="22"/>
          <w:lang w:val="ro-RO"/>
        </w:rPr>
      </w:pPr>
      <w:r w:rsidRPr="00605B28">
        <w:rPr>
          <w:rFonts w:ascii="Tahoma" w:hAnsi="Tahoma" w:cs="Tahoma"/>
          <w:sz w:val="22"/>
          <w:szCs w:val="22"/>
          <w:lang w:val="ro-RO"/>
        </w:rPr>
        <w:t>să deţină şi să menţină în vigoare pe durata contractului licenţa acordată de ANRE sau după caz alte documente conform legislației;</w:t>
      </w:r>
    </w:p>
    <w:p w14:paraId="46657F20" w14:textId="32E61355"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BC779E">
        <w:rPr>
          <w:rFonts w:ascii="Tahoma" w:hAnsi="Tahoma" w:cs="Tahoma"/>
          <w:sz w:val="22"/>
          <w:szCs w:val="22"/>
          <w:lang w:val="ro-RO"/>
        </w:rPr>
        <w:t>15</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6E29A3">
        <w:rPr>
          <w:rFonts w:ascii="Tahoma" w:hAnsi="Tahoma" w:cs="Tahoma"/>
          <w:sz w:val="22"/>
          <w:szCs w:val="22"/>
          <w:lang w:val="ro-RO"/>
        </w:rPr>
        <w:t>5</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BC779E">
        <w:rPr>
          <w:rFonts w:ascii="Tahoma" w:hAnsi="Tahoma" w:cs="Tahoma"/>
          <w:sz w:val="22"/>
          <w:szCs w:val="22"/>
          <w:lang w:val="ro-RO"/>
        </w:rPr>
        <w:t>15</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3B6A3B4C"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BC779E" w:rsidRPr="003821AE">
        <w:rPr>
          <w:rFonts w:ascii="Tahoma" w:hAnsi="Tahoma" w:cs="Tahoma"/>
          <w:sz w:val="22"/>
          <w:szCs w:val="22"/>
          <w:lang w:val="ro-RO"/>
        </w:rPr>
        <w:t>2</w:t>
      </w:r>
      <w:r w:rsidR="00BC779E">
        <w:rPr>
          <w:rFonts w:ascii="Tahoma" w:hAnsi="Tahoma" w:cs="Tahoma"/>
          <w:sz w:val="22"/>
          <w:szCs w:val="22"/>
          <w:lang w:val="ro-RO"/>
        </w:rPr>
        <w:t>5</w:t>
      </w:r>
      <w:r w:rsidR="00BC779E" w:rsidRPr="00E15299">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7571AD0B"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r w:rsidR="00E741E3" w:rsidRPr="00BD389D">
        <w:rPr>
          <w:rFonts w:ascii="Tahoma" w:hAnsi="Tahoma" w:cs="Tahoma"/>
          <w:b/>
          <w:bCs/>
          <w:sz w:val="22"/>
          <w:szCs w:val="22"/>
          <w:lang w:val="ro-RO"/>
        </w:rPr>
        <w:t>2</w:t>
      </w:r>
      <w:r w:rsidR="00E741E3">
        <w:rPr>
          <w:rFonts w:ascii="Tahoma" w:hAnsi="Tahoma" w:cs="Tahoma"/>
          <w:b/>
          <w:bCs/>
          <w:sz w:val="22"/>
          <w:szCs w:val="22"/>
          <w:lang w:val="ro-RO"/>
        </w:rPr>
        <w:t>0</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4E14EF71"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BC779E" w:rsidRPr="00BD389D">
        <w:rPr>
          <w:rFonts w:ascii="Tahoma" w:hAnsi="Tahoma" w:cs="Tahoma"/>
          <w:sz w:val="22"/>
          <w:szCs w:val="22"/>
          <w:lang w:val="ro-RO"/>
        </w:rPr>
        <w:t>2</w:t>
      </w:r>
      <w:r w:rsidR="00BC779E">
        <w:rPr>
          <w:rFonts w:ascii="Tahoma" w:hAnsi="Tahoma" w:cs="Tahoma"/>
          <w:sz w:val="22"/>
          <w:szCs w:val="22"/>
          <w:lang w:val="ro-RO"/>
        </w:rPr>
        <w:t>5</w:t>
      </w:r>
      <w:r w:rsidR="00560BE1">
        <w:rPr>
          <w:rFonts w:ascii="Tahoma" w:hAnsi="Tahoma" w:cs="Tahoma"/>
          <w:sz w:val="22"/>
          <w:szCs w:val="22"/>
          <w:lang w:val="ro-RO"/>
        </w:rPr>
        <w:t>,</w:t>
      </w:r>
      <w:r w:rsidR="0018391E" w:rsidRPr="00BD389D">
        <w:rPr>
          <w:rFonts w:ascii="Tahoma" w:hAnsi="Tahoma" w:cs="Tahoma"/>
          <w:sz w:val="22"/>
          <w:szCs w:val="22"/>
          <w:lang w:val="ro-RO"/>
        </w:rPr>
        <w:t xml:space="preserve"> </w:t>
      </w:r>
      <w:r w:rsidR="00EC283E" w:rsidRPr="00EC283E">
        <w:rPr>
          <w:rFonts w:ascii="Tahoma" w:hAnsi="Tahoma" w:cs="Tahoma"/>
          <w:sz w:val="22"/>
          <w:szCs w:val="22"/>
          <w:lang w:val="ro-RO"/>
        </w:rPr>
        <w:t>respectiv să execute garanţia bancară ca urmare a neplăţii acestora, în cazul în care Vânzătorul a determinat prin culpa sa rezilierea contractului.</w:t>
      </w:r>
    </w:p>
    <w:p w14:paraId="7A9163DC" w14:textId="36883C76"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r w:rsidR="00E741E3">
        <w:rPr>
          <w:rFonts w:ascii="Tahoma" w:hAnsi="Tahoma" w:cs="Tahoma"/>
          <w:b/>
          <w:bCs/>
          <w:sz w:val="22"/>
          <w:szCs w:val="22"/>
          <w:lang w:val="ro-RO"/>
        </w:rPr>
        <w:t>21.</w:t>
      </w:r>
      <w:r w:rsidR="00E741E3"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238452E9"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BC779E">
        <w:rPr>
          <w:rFonts w:ascii="Tahoma" w:hAnsi="Tahoma" w:cs="Tahoma"/>
          <w:sz w:val="22"/>
          <w:szCs w:val="22"/>
          <w:lang w:val="ro-RO"/>
        </w:rPr>
        <w:t>22</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266D7888"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22</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67F6C519"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00F4371D"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23</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33F2FDA5"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24</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DAD9C65"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BC779E" w:rsidRPr="007A4E53">
        <w:rPr>
          <w:rFonts w:ascii="Tahoma" w:hAnsi="Tahoma" w:cs="Tahoma"/>
          <w:sz w:val="22"/>
          <w:szCs w:val="22"/>
          <w:lang w:val="ro-RO"/>
        </w:rPr>
        <w:t>1</w:t>
      </w:r>
      <w:r w:rsidR="00BC779E">
        <w:rPr>
          <w:rFonts w:ascii="Tahoma" w:hAnsi="Tahoma" w:cs="Tahoma"/>
          <w:sz w:val="22"/>
          <w:szCs w:val="22"/>
          <w:lang w:val="ro-RO"/>
        </w:rPr>
        <w:t>1</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0855C9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BC779E">
        <w:rPr>
          <w:rFonts w:ascii="Tahoma" w:hAnsi="Tahoma" w:cs="Tahoma"/>
          <w:sz w:val="22"/>
          <w:szCs w:val="22"/>
          <w:lang w:val="ro-RO"/>
        </w:rPr>
        <w:t>15</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55E16268"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lastRenderedPageBreak/>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BC779E" w:rsidRPr="009E2202">
        <w:rPr>
          <w:rFonts w:ascii="Tahoma" w:hAnsi="Tahoma" w:cs="Tahoma"/>
          <w:sz w:val="22"/>
          <w:szCs w:val="22"/>
          <w:lang w:val="ro-RO"/>
        </w:rPr>
        <w:t>2</w:t>
      </w:r>
      <w:r w:rsidR="00BC779E">
        <w:rPr>
          <w:rFonts w:ascii="Tahoma" w:hAnsi="Tahoma" w:cs="Tahoma"/>
          <w:sz w:val="22"/>
          <w:szCs w:val="22"/>
          <w:lang w:val="ro-RO"/>
        </w:rPr>
        <w:t>5</w:t>
      </w:r>
      <w:r w:rsidR="00BC779E" w:rsidRPr="009E2202">
        <w:rPr>
          <w:rFonts w:ascii="Tahoma" w:hAnsi="Tahoma" w:cs="Tahoma"/>
          <w:sz w:val="22"/>
          <w:szCs w:val="22"/>
          <w:lang w:val="ro-RO"/>
        </w:rPr>
        <w:t xml:space="preserve"> </w:t>
      </w:r>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1A0BBDFA"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25</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00605B28" w:rsidRPr="00605B28">
        <w:rPr>
          <w:rFonts w:ascii="Tahoma" w:hAnsi="Tahoma" w:cs="Tahoma"/>
          <w:sz w:val="22"/>
          <w:szCs w:val="22"/>
          <w:lang w:val="ro-RO"/>
        </w:rPr>
        <w:t>Rezilierea contractului are loc de drept, cu notificare prealabilă scrisă, fără punerea în întârziere şi fără intervenţia instanţei în următoarele cazuri, cu respectarea condițiilor de la alin (2) și (3):</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6AABB7F9" w:rsidR="008624D0" w:rsidRPr="00C43337" w:rsidRDefault="00605B28" w:rsidP="00B24990">
      <w:pPr>
        <w:pStyle w:val="BodyText"/>
        <w:numPr>
          <w:ilvl w:val="0"/>
          <w:numId w:val="59"/>
        </w:numPr>
        <w:spacing w:before="120" w:after="120"/>
        <w:jc w:val="both"/>
        <w:rPr>
          <w:rFonts w:ascii="Tahoma" w:hAnsi="Tahoma" w:cs="Tahoma"/>
          <w:sz w:val="22"/>
          <w:szCs w:val="22"/>
          <w:lang w:val="ro-RO"/>
        </w:rPr>
      </w:pPr>
      <w:r>
        <w:t>d</w:t>
      </w:r>
      <w:r w:rsidRPr="00605B28">
        <w:rPr>
          <w:rFonts w:ascii="Tahoma" w:hAnsi="Tahoma" w:cs="Tahoma"/>
          <w:sz w:val="22"/>
          <w:szCs w:val="22"/>
          <w:lang w:val="ro-RO"/>
        </w:rPr>
        <w:t>in inițiativa uneia din părți în cazul în care cealaltă parte refuză să încheie un act adiţional la acest contract, în condiţiile modificării reglementărilor şi/sau circumstanţelor, aşa cum este definită în art. 2</w:t>
      </w:r>
      <w:r>
        <w:rPr>
          <w:rFonts w:ascii="Tahoma" w:hAnsi="Tahoma" w:cs="Tahoma"/>
          <w:sz w:val="22"/>
          <w:szCs w:val="22"/>
          <w:lang w:val="ro-RO"/>
        </w:rPr>
        <w:t>7</w:t>
      </w:r>
      <w:r w:rsidRPr="00605B28">
        <w:rPr>
          <w:rFonts w:ascii="Tahoma" w:hAnsi="Tahoma" w:cs="Tahoma"/>
          <w:sz w:val="22"/>
          <w:szCs w:val="22"/>
          <w:lang w:val="ro-RO"/>
        </w:rPr>
        <w:t>, într-un termen de 30 de zile calendaristice de la data apariției acestor modificări și numai în măsura in care acestea prevăd obligația semnării unui act adițional. Încetarea contractului nu are loc în această situaţie decât dacă Vânzătorul şi Cumpărătorul nu ajung la o înţelegere în termenul de 30 de zile calendaristice menţionat mai sus;</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3C23944F" w:rsidR="009457B2" w:rsidRPr="00C43337" w:rsidRDefault="005F6F15" w:rsidP="00B24990">
      <w:pPr>
        <w:pStyle w:val="BodyText"/>
        <w:numPr>
          <w:ilvl w:val="0"/>
          <w:numId w:val="59"/>
        </w:numPr>
        <w:spacing w:before="120" w:after="120"/>
        <w:jc w:val="both"/>
        <w:rPr>
          <w:rFonts w:ascii="Tahoma" w:hAnsi="Tahoma" w:cs="Tahoma"/>
          <w:sz w:val="22"/>
          <w:szCs w:val="22"/>
          <w:lang w:val="ro-RO"/>
        </w:rPr>
      </w:pPr>
      <w:r w:rsidRPr="005F6F15">
        <w:rPr>
          <w:rFonts w:ascii="Tahoma" w:hAnsi="Tahoma" w:cs="Tahoma"/>
          <w:sz w:val="22"/>
          <w:szCs w:val="22"/>
          <w:lang w:val="ro-RO"/>
        </w:rPr>
        <w:t>în cazul în care una dintre Părţi nu îşi respectă și nu execută la termen obligaţiile contractuale asumate conform art.</w:t>
      </w:r>
      <w:r w:rsidR="0029012D">
        <w:rPr>
          <w:rFonts w:ascii="Tahoma" w:hAnsi="Tahoma" w:cs="Tahoma"/>
          <w:sz w:val="22"/>
          <w:szCs w:val="22"/>
          <w:lang w:val="ro-RO"/>
        </w:rPr>
        <w:t xml:space="preserve"> </w:t>
      </w:r>
      <w:r w:rsidR="00BC779E" w:rsidRPr="00C43337">
        <w:rPr>
          <w:rFonts w:ascii="Tahoma" w:hAnsi="Tahoma" w:cs="Tahoma"/>
          <w:sz w:val="22"/>
          <w:szCs w:val="22"/>
          <w:lang w:val="ro-RO"/>
        </w:rPr>
        <w:t>1</w:t>
      </w:r>
      <w:r w:rsidR="00BC779E">
        <w:rPr>
          <w:rFonts w:ascii="Tahoma" w:hAnsi="Tahoma" w:cs="Tahoma"/>
          <w:sz w:val="22"/>
          <w:szCs w:val="22"/>
          <w:lang w:val="ro-RO"/>
        </w:rPr>
        <w:t>5</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BC779E" w:rsidRPr="00C43337">
        <w:rPr>
          <w:rFonts w:ascii="Tahoma" w:hAnsi="Tahoma" w:cs="Tahoma"/>
          <w:sz w:val="22"/>
          <w:szCs w:val="22"/>
          <w:lang w:val="ro-RO"/>
        </w:rPr>
        <w:t>1</w:t>
      </w:r>
      <w:r w:rsidR="00BC779E">
        <w:rPr>
          <w:rFonts w:ascii="Tahoma" w:hAnsi="Tahoma" w:cs="Tahoma"/>
          <w:sz w:val="22"/>
          <w:szCs w:val="22"/>
          <w:lang w:val="ro-RO"/>
        </w:rPr>
        <w:t>6</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C779E">
        <w:rPr>
          <w:rFonts w:ascii="Tahoma" w:hAnsi="Tahoma" w:cs="Tahoma"/>
          <w:sz w:val="22"/>
          <w:szCs w:val="22"/>
          <w:lang w:val="ro-RO"/>
        </w:rPr>
        <w:t>17</w:t>
      </w:r>
      <w:r w:rsidR="00BC779E"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C779E">
        <w:rPr>
          <w:rFonts w:ascii="Tahoma" w:hAnsi="Tahoma" w:cs="Tahoma"/>
          <w:sz w:val="22"/>
          <w:szCs w:val="22"/>
          <w:lang w:val="ro-RO"/>
        </w:rPr>
        <w:t>19</w:t>
      </w:r>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6"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6"/>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15007B" w14:textId="77777777" w:rsidR="007516A7" w:rsidRPr="007516A7" w:rsidRDefault="007516A7" w:rsidP="007516A7">
      <w:pPr>
        <w:rPr>
          <w:lang w:val="ro-RO"/>
        </w:rPr>
      </w:pP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lastRenderedPageBreak/>
        <w:t>Î</w:t>
      </w:r>
      <w:r w:rsidR="008624D0" w:rsidRPr="00C43337">
        <w:rPr>
          <w:rFonts w:ascii="Tahoma" w:hAnsi="Tahoma" w:cs="Tahoma"/>
          <w:sz w:val="22"/>
          <w:szCs w:val="22"/>
          <w:lang w:val="ro-RO"/>
        </w:rPr>
        <w:t>ncetarea contractului</w:t>
      </w:r>
    </w:p>
    <w:p w14:paraId="2BC2492B" w14:textId="04C8CB2E"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26</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4EEC76BD"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5167BE">
        <w:rPr>
          <w:rFonts w:ascii="Tahoma" w:hAnsi="Tahoma" w:cs="Tahoma"/>
          <w:sz w:val="22"/>
          <w:szCs w:val="22"/>
          <w:lang w:val="ro-RO"/>
        </w:rPr>
        <w:t>9</w:t>
      </w:r>
      <w:r w:rsidR="005167BE"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60940554"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5167BE" w:rsidRPr="009C7A54">
        <w:rPr>
          <w:rFonts w:ascii="Tahoma" w:hAnsi="Tahoma" w:cs="Tahoma"/>
          <w:sz w:val="22"/>
          <w:szCs w:val="22"/>
          <w:lang w:val="ro-RO"/>
        </w:rPr>
        <w:t>2</w:t>
      </w:r>
      <w:r w:rsidR="005167BE">
        <w:rPr>
          <w:rFonts w:ascii="Tahoma" w:hAnsi="Tahoma" w:cs="Tahoma"/>
          <w:sz w:val="22"/>
          <w:szCs w:val="22"/>
          <w:lang w:val="ro-RO"/>
        </w:rPr>
        <w:t>5</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299D4B19"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 xml:space="preserve">Prevederile art. </w:t>
      </w:r>
      <w:r w:rsidR="005167BE" w:rsidRPr="00BD389D">
        <w:rPr>
          <w:rFonts w:ascii="Tahoma" w:hAnsi="Tahoma" w:cs="Tahoma"/>
          <w:sz w:val="22"/>
          <w:szCs w:val="22"/>
          <w:lang w:val="ro-RO"/>
        </w:rPr>
        <w:t>2</w:t>
      </w:r>
      <w:r w:rsidR="005167BE">
        <w:rPr>
          <w:rFonts w:ascii="Tahoma" w:hAnsi="Tahoma" w:cs="Tahoma"/>
          <w:sz w:val="22"/>
          <w:szCs w:val="22"/>
          <w:lang w:val="ro-RO"/>
        </w:rPr>
        <w:t>5</w:t>
      </w:r>
      <w:r w:rsidR="00F44555" w:rsidRPr="00BD389D">
        <w:rPr>
          <w:rFonts w:ascii="Tahoma" w:hAnsi="Tahoma" w:cs="Tahoma"/>
          <w:sz w:val="22"/>
          <w:szCs w:val="22"/>
          <w:lang w:val="ro-RO"/>
        </w:rPr>
        <w:t>, alin (2) – (5) se vor aplica în mod corespunzător;</w:t>
      </w:r>
      <w:r w:rsidRPr="0073215F">
        <w:rPr>
          <w:rFonts w:ascii="Tahoma" w:hAnsi="Tahoma" w:cs="Tahoma"/>
          <w:sz w:val="22"/>
          <w:szCs w:val="22"/>
          <w:lang w:val="ro-RO"/>
        </w:rPr>
        <w:t xml:space="preserve">  </w:t>
      </w:r>
    </w:p>
    <w:p w14:paraId="1ADA5587" w14:textId="1256C0EC"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5167BE">
        <w:rPr>
          <w:rFonts w:ascii="Tahoma" w:hAnsi="Tahoma" w:cs="Tahoma"/>
          <w:sz w:val="22"/>
          <w:szCs w:val="22"/>
          <w:lang w:val="ro-RO"/>
        </w:rPr>
        <w:t>28</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7797EFC2" w14:textId="3A323EB2" w:rsidR="004D153D" w:rsidRPr="00C43337" w:rsidRDefault="008624D0" w:rsidP="00973B00">
      <w:pPr>
        <w:pStyle w:val="BodyText"/>
        <w:spacing w:before="120" w:after="120"/>
        <w:jc w:val="both"/>
        <w:rPr>
          <w:rFonts w:ascii="Tahoma" w:hAnsi="Tahoma" w:cs="Tahoma"/>
          <w:sz w:val="22"/>
          <w:szCs w:val="22"/>
          <w:lang w:val="ro-RO"/>
        </w:rPr>
      </w:pPr>
      <w:bookmarkStart w:id="7" w:name="_Hlk97036000"/>
      <w:r w:rsidRPr="00C43337">
        <w:rPr>
          <w:rFonts w:ascii="Tahoma" w:hAnsi="Tahoma" w:cs="Tahoma"/>
          <w:b/>
          <w:bCs/>
          <w:sz w:val="22"/>
          <w:szCs w:val="22"/>
          <w:lang w:val="ro-RO"/>
        </w:rPr>
        <w:t xml:space="preserve">Art. </w:t>
      </w:r>
      <w:r w:rsidR="00E741E3">
        <w:rPr>
          <w:rFonts w:ascii="Tahoma" w:hAnsi="Tahoma" w:cs="Tahoma"/>
          <w:b/>
          <w:bCs/>
          <w:sz w:val="22"/>
          <w:szCs w:val="22"/>
          <w:lang w:val="ro-RO"/>
        </w:rPr>
        <w:t>27</w:t>
      </w:r>
      <w:r w:rsidRPr="00C43337">
        <w:rPr>
          <w:rFonts w:ascii="Tahoma" w:hAnsi="Tahoma" w:cs="Tahoma"/>
          <w:b/>
          <w:bCs/>
          <w:sz w:val="22"/>
          <w:szCs w:val="22"/>
          <w:lang w:val="ro-RO"/>
        </w:rPr>
        <w:t xml:space="preserve">. </w:t>
      </w:r>
      <w:r w:rsidR="00973B00" w:rsidRPr="00B24990">
        <w:rPr>
          <w:rFonts w:ascii="Tahoma" w:hAnsi="Tahoma"/>
          <w:sz w:val="22"/>
          <w:lang w:val="ro-RO"/>
        </w:rPr>
        <w:t>(1)</w:t>
      </w:r>
      <w:r w:rsidR="00973B00" w:rsidRPr="00C43337">
        <w:rPr>
          <w:rFonts w:ascii="Tahoma" w:hAnsi="Tahoma" w:cs="Tahoma"/>
          <w:sz w:val="22"/>
          <w:szCs w:val="22"/>
          <w:lang w:val="ro-RO"/>
        </w:rPr>
        <w:t xml:space="preserve"> </w:t>
      </w:r>
      <w:r w:rsidR="00E53786"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Pr="00C43337">
        <w:rPr>
          <w:rFonts w:ascii="Tahoma" w:hAnsi="Tahoma" w:cs="Tahoma"/>
          <w:sz w:val="22"/>
          <w:szCs w:val="22"/>
          <w:lang w:val="ro-RO"/>
        </w:rPr>
        <w:t xml:space="preserve"> </w:t>
      </w:r>
    </w:p>
    <w:p w14:paraId="62351E81" w14:textId="52C9F529" w:rsidR="00E53786" w:rsidRPr="00E53786" w:rsidRDefault="00973B00" w:rsidP="00973B00">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(2) </w:t>
      </w:r>
      <w:r w:rsidR="00E53786"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00E53786" w:rsidRPr="00E53786">
        <w:t xml:space="preserve"> </w:t>
      </w:r>
    </w:p>
    <w:p w14:paraId="2537F6C9" w14:textId="4E1EA79B"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r w:rsidR="00AE5965">
        <w:rPr>
          <w:rFonts w:ascii="Tahoma" w:hAnsi="Tahoma" w:cs="Tahoma"/>
          <w:sz w:val="22"/>
          <w:szCs w:val="22"/>
          <w:lang w:val="ro-RO"/>
        </w:rPr>
        <w:t>.</w:t>
      </w:r>
    </w:p>
    <w:p w14:paraId="3086D07B" w14:textId="6ECC091D" w:rsidR="00C12D6F" w:rsidRDefault="00973B00" w:rsidP="00973B00">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(3) </w:t>
      </w:r>
      <w:r w:rsidR="00E53786"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49A768C2" w:rsidR="004F292D" w:rsidRPr="00BD389D" w:rsidRDefault="00973B00" w:rsidP="00973B00">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(4) </w:t>
      </w:r>
      <w:r w:rsidR="004F292D">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bookmarkEnd w:id="7"/>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A18EE35" w:rsidR="008624D0" w:rsidRPr="00C43337" w:rsidRDefault="008624D0" w:rsidP="0022363D">
      <w:pPr>
        <w:pStyle w:val="BodyText"/>
        <w:spacing w:before="120" w:after="120"/>
        <w:jc w:val="both"/>
        <w:rPr>
          <w:rFonts w:ascii="Tahoma" w:hAnsi="Tahoma" w:cs="Tahoma"/>
          <w:sz w:val="22"/>
          <w:szCs w:val="22"/>
          <w:lang w:val="ro-RO"/>
        </w:rPr>
      </w:pPr>
      <w:bookmarkStart w:id="8" w:name="_Hlk97036019"/>
      <w:r w:rsidRPr="00C43337">
        <w:rPr>
          <w:rFonts w:ascii="Tahoma" w:hAnsi="Tahoma" w:cs="Tahoma"/>
          <w:b/>
          <w:bCs/>
          <w:sz w:val="22"/>
          <w:szCs w:val="22"/>
          <w:lang w:val="ro-RO"/>
        </w:rPr>
        <w:t xml:space="preserve">Art. </w:t>
      </w:r>
      <w:r w:rsidR="00E741E3">
        <w:rPr>
          <w:rFonts w:ascii="Tahoma" w:hAnsi="Tahoma" w:cs="Tahoma"/>
          <w:b/>
          <w:bCs/>
          <w:sz w:val="22"/>
          <w:szCs w:val="22"/>
          <w:lang w:val="ro-RO"/>
        </w:rPr>
        <w:t>28</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74C05480"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 xml:space="preserve">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w:t>
      </w:r>
      <w:r w:rsidR="00E53786" w:rsidRPr="00E53786">
        <w:rPr>
          <w:rFonts w:ascii="Tahoma" w:hAnsi="Tahoma" w:cs="Tahoma"/>
          <w:sz w:val="22"/>
          <w:szCs w:val="22"/>
          <w:lang w:val="ro-RO"/>
        </w:rPr>
        <w:lastRenderedPageBreak/>
        <w:t>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8"/>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043436CD"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29</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E6224B4"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30</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3F9ED70F"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31</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w:t>
      </w:r>
      <w:r w:rsidR="00A3500B">
        <w:rPr>
          <w:rFonts w:ascii="Tahoma" w:hAnsi="Tahoma" w:cs="Tahoma"/>
          <w:sz w:val="22"/>
          <w:szCs w:val="22"/>
          <w:lang w:val="ro-RO"/>
        </w:rPr>
        <w:t>de program</w:t>
      </w:r>
      <w:r w:rsidR="00A3500B" w:rsidRPr="00543C14">
        <w:rPr>
          <w:rFonts w:ascii="Tahoma" w:hAnsi="Tahoma" w:cs="Tahoma"/>
          <w:sz w:val="22"/>
          <w:szCs w:val="22"/>
          <w:lang w:val="ro-RO"/>
        </w:rPr>
        <w:t xml:space="preserv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36DBCD62" w:rsidR="008624D0"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5F6F15">
        <w:rPr>
          <w:rFonts w:ascii="Tahoma" w:hAnsi="Tahoma" w:cs="Tahoma"/>
          <w:sz w:val="22"/>
          <w:szCs w:val="22"/>
          <w:lang w:val="ro-RO"/>
        </w:rPr>
        <w:t>, sau</w:t>
      </w:r>
    </w:p>
    <w:p w14:paraId="16665C64" w14:textId="7C6F167E" w:rsidR="005F6F15" w:rsidRPr="00C43337" w:rsidRDefault="005F6F15" w:rsidP="00B24990">
      <w:pPr>
        <w:pStyle w:val="BodyText"/>
        <w:numPr>
          <w:ilvl w:val="1"/>
          <w:numId w:val="62"/>
        </w:numPr>
        <w:spacing w:before="120" w:after="120"/>
        <w:jc w:val="both"/>
        <w:rPr>
          <w:rFonts w:ascii="Tahoma" w:hAnsi="Tahoma" w:cs="Tahoma"/>
          <w:sz w:val="22"/>
          <w:szCs w:val="22"/>
          <w:lang w:val="ro-RO"/>
        </w:rPr>
      </w:pPr>
      <w:r>
        <w:rPr>
          <w:rFonts w:ascii="Tahoma" w:hAnsi="Tahoma" w:cs="Tahoma"/>
          <w:sz w:val="22"/>
          <w:szCs w:val="22"/>
          <w:lang w:val="ro-RO"/>
        </w:rPr>
        <w:t>p</w:t>
      </w:r>
      <w:r w:rsidRPr="005F6F15">
        <w:rPr>
          <w:rFonts w:ascii="Tahoma" w:hAnsi="Tahoma" w:cs="Tahoma"/>
          <w:sz w:val="22"/>
          <w:szCs w:val="22"/>
          <w:lang w:val="ro-RO"/>
        </w:rPr>
        <w:t>rin email, cu obligația confirmării primirii emailului de către destinatar</w:t>
      </w:r>
      <w:r>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9"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9"/>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lastRenderedPageBreak/>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57A36C3D"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r w:rsidR="00E741E3">
        <w:rPr>
          <w:rFonts w:ascii="Tahoma" w:hAnsi="Tahoma" w:cs="Tahoma"/>
          <w:b/>
          <w:bCs/>
          <w:sz w:val="22"/>
          <w:szCs w:val="22"/>
          <w:lang w:val="ro-RO"/>
        </w:rPr>
        <w:t>32</w:t>
      </w:r>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3F8AA684"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E741E3">
        <w:rPr>
          <w:rFonts w:ascii="Tahoma" w:hAnsi="Tahoma" w:cs="Tahoma"/>
          <w:b/>
          <w:bCs/>
          <w:sz w:val="22"/>
          <w:szCs w:val="22"/>
          <w:lang w:val="ro-RO"/>
        </w:rPr>
        <w:t>33</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6A5B7923"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r w:rsidR="00E741E3">
        <w:rPr>
          <w:rFonts w:ascii="Tahoma" w:hAnsi="Tahoma" w:cs="Tahoma"/>
          <w:b/>
          <w:bCs/>
          <w:sz w:val="22"/>
          <w:szCs w:val="22"/>
          <w:lang w:val="ro-RO"/>
        </w:rPr>
        <w:t>34</w:t>
      </w:r>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3000C630" w14:textId="77777777" w:rsidR="00AE5965"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66ED946C" w14:textId="77777777" w:rsidR="00AE5965" w:rsidRDefault="00AE5965"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2E78471E" w14:textId="28BFF382" w:rsidR="003B56D4" w:rsidRPr="00C43337" w:rsidRDefault="007D29A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2C440A">
        <w:trPr>
          <w:trHeight w:val="1515"/>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lastRenderedPageBreak/>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613DA26B"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Pr>
          <w:rFonts w:ascii="Tahoma" w:hAnsi="Tahoma" w:cs="Tahoma"/>
          <w:b/>
          <w:sz w:val="22"/>
          <w:szCs w:val="22"/>
          <w:lang w:val="ro-RO"/>
        </w:rPr>
        <w:tab/>
      </w:r>
      <w:r w:rsidRPr="00DA0637">
        <w:rPr>
          <w:rFonts w:ascii="Tahoma" w:eastAsia="Arial Unicode MS" w:hAnsi="Tahoma" w:cs="Tahoma"/>
          <w:noProof w:val="0"/>
          <w:kern w:val="1"/>
          <w:sz w:val="22"/>
          <w:szCs w:val="22"/>
          <w:lang w:val="ro-RO" w:eastAsia="hi-IN" w:bidi="hi-IN"/>
        </w:rPr>
        <w:t>Optiunea privind procentul de variație/flexibilitate:</w:t>
      </w:r>
    </w:p>
    <w:p w14:paraId="148CBB84"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p>
    <w:p w14:paraId="760265DB"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aplică</w:t>
      </w:r>
    </w:p>
    <w:p w14:paraId="550A7785"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aplică</w:t>
      </w:r>
    </w:p>
    <w:p w14:paraId="0D9817FD"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Partea îndreptățită să exercite opțiunea privind procentul de variație:</w:t>
      </w:r>
    </w:p>
    <w:p w14:paraId="1EDD0341"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Vânzător</w:t>
      </w:r>
    </w:p>
    <w:p w14:paraId="1FD28CE3"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Cumpărător</w:t>
      </w:r>
    </w:p>
    <w:p w14:paraId="6B73A3C0" w14:textId="353ABF5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005F6F15" w:rsidRPr="005F6F15">
        <w:rPr>
          <w:rFonts w:ascii="Tahoma" w:eastAsia="Arial Unicode MS" w:hAnsi="Tahoma" w:cs="Tahoma"/>
          <w:noProof w:val="0"/>
          <w:kern w:val="1"/>
          <w:sz w:val="22"/>
          <w:szCs w:val="22"/>
          <w:lang w:val="ro-RO" w:eastAsia="hi-IN" w:bidi="hi-IN"/>
        </w:rPr>
        <w:t xml:space="preserve">Oricare </w:t>
      </w:r>
      <w:r w:rsidRPr="006D2037">
        <w:rPr>
          <w:rFonts w:ascii="Tahoma" w:eastAsia="Arial Unicode MS" w:hAnsi="Tahoma" w:cs="Tahoma"/>
          <w:noProof w:val="0"/>
          <w:kern w:val="1"/>
          <w:sz w:val="22"/>
          <w:szCs w:val="22"/>
          <w:lang w:val="ro-RO" w:eastAsia="hi-IN" w:bidi="hi-IN"/>
        </w:rPr>
        <w:t>dintre părți</w:t>
      </w:r>
    </w:p>
    <w:p w14:paraId="4E5DDAEF" w14:textId="28115B57" w:rsidR="00D539BB" w:rsidRDefault="00D539BB" w:rsidP="00D539BB">
      <w:pPr>
        <w:widowControl w:val="0"/>
        <w:suppressAutoHyphens/>
        <w:spacing w:after="200" w:line="220" w:lineRule="exact"/>
        <w:ind w:left="426" w:right="141" w:firstLine="284"/>
        <w:jc w:val="both"/>
        <w:rPr>
          <w:rFonts w:ascii="Tahoma" w:eastAsia="Arial Unicode MS" w:hAnsi="Tahoma" w:cs="Tahoma"/>
          <w:noProof w:val="0"/>
          <w:kern w:val="1"/>
          <w:sz w:val="22"/>
          <w:szCs w:val="22"/>
          <w:lang w:val="ro-RO" w:eastAsia="hi-IN" w:bidi="hi-IN"/>
        </w:rPr>
      </w:pPr>
      <w:r>
        <w:rPr>
          <w:rFonts w:ascii="Tahoma" w:eastAsia="Arial Unicode MS" w:hAnsi="Tahoma" w:cs="Tahoma"/>
          <w:noProof w:val="0"/>
          <w:kern w:val="1"/>
          <w:sz w:val="22"/>
          <w:szCs w:val="22"/>
          <w:lang w:val="ro-RO" w:eastAsia="hi-IN" w:bidi="hi-IN"/>
        </w:rPr>
        <w:t>V</w:t>
      </w:r>
      <w:r w:rsidRPr="00DA0637">
        <w:rPr>
          <w:rFonts w:ascii="Tahoma" w:eastAsia="Arial Unicode MS" w:hAnsi="Tahoma" w:cs="Tahoma"/>
          <w:noProof w:val="0"/>
          <w:kern w:val="1"/>
          <w:sz w:val="22"/>
          <w:szCs w:val="22"/>
          <w:lang w:val="ro-RO" w:eastAsia="hi-IN" w:bidi="hi-IN"/>
        </w:rPr>
        <w:t xml:space="preserve">ariație </w:t>
      </w:r>
      <w:r w:rsidRPr="00D539BB">
        <w:rPr>
          <w:rFonts w:ascii="Tahoma" w:eastAsia="Arial Unicode MS" w:hAnsi="Tahoma" w:cs="Tahoma"/>
          <w:noProof w:val="0"/>
          <w:kern w:val="1"/>
          <w:sz w:val="22"/>
          <w:szCs w:val="22"/>
          <w:lang w:val="ro-RO" w:eastAsia="hi-IN" w:bidi="hi-IN"/>
        </w:rPr>
        <w:t>puterii contractate pe interval de decontare</w:t>
      </w:r>
      <w:r>
        <w:rPr>
          <w:rFonts w:ascii="Tahoma" w:eastAsia="Arial Unicode MS" w:hAnsi="Tahoma" w:cs="Tahoma"/>
          <w:noProof w:val="0"/>
          <w:kern w:val="1"/>
          <w:sz w:val="22"/>
          <w:szCs w:val="22"/>
          <w:lang w:val="ro-RO" w:eastAsia="hi-IN" w:bidi="hi-IN"/>
        </w:rPr>
        <w:t xml:space="preserve"> este </w:t>
      </w:r>
      <w:r w:rsidRPr="00DA0637">
        <w:rPr>
          <w:rFonts w:ascii="Tahoma" w:eastAsia="Arial Unicode MS" w:hAnsi="Tahoma" w:cs="Tahoma"/>
          <w:noProof w:val="0"/>
          <w:kern w:val="1"/>
          <w:sz w:val="22"/>
          <w:szCs w:val="22"/>
          <w:lang w:val="ro-RO" w:eastAsia="hi-IN" w:bidi="hi-IN"/>
        </w:rPr>
        <w:t xml:space="preserve">........... </w:t>
      </w:r>
      <w:r>
        <w:rPr>
          <w:rFonts w:ascii="Tahoma" w:eastAsia="Arial Unicode MS" w:hAnsi="Tahoma" w:cs="Tahoma"/>
          <w:noProof w:val="0"/>
          <w:kern w:val="1"/>
          <w:sz w:val="22"/>
          <w:szCs w:val="22"/>
          <w:lang w:val="ro-RO" w:eastAsia="hi-IN" w:bidi="hi-IN"/>
        </w:rPr>
        <w:t>MW (maxim 0</w:t>
      </w:r>
      <w:r w:rsidR="009525C5">
        <w:rPr>
          <w:rFonts w:ascii="Tahoma" w:eastAsia="Arial Unicode MS" w:hAnsi="Tahoma" w:cs="Tahoma"/>
          <w:noProof w:val="0"/>
          <w:kern w:val="1"/>
          <w:sz w:val="22"/>
          <w:szCs w:val="22"/>
          <w:lang w:val="ro-RO" w:eastAsia="hi-IN" w:bidi="hi-IN"/>
        </w:rPr>
        <w:t>,</w:t>
      </w:r>
      <w:r>
        <w:rPr>
          <w:rFonts w:ascii="Tahoma" w:eastAsia="Arial Unicode MS" w:hAnsi="Tahoma" w:cs="Tahoma"/>
          <w:noProof w:val="0"/>
          <w:kern w:val="1"/>
          <w:sz w:val="22"/>
          <w:szCs w:val="22"/>
          <w:lang w:val="ro-RO" w:eastAsia="hi-IN" w:bidi="hi-IN"/>
        </w:rPr>
        <w:t xml:space="preserve">5 MW) </w:t>
      </w:r>
      <w:r w:rsidRPr="00DA0637">
        <w:rPr>
          <w:rFonts w:ascii="Tahoma" w:eastAsia="Arial Unicode MS" w:hAnsi="Tahoma" w:cs="Tahoma"/>
          <w:noProof w:val="0"/>
          <w:kern w:val="1"/>
          <w:sz w:val="22"/>
          <w:szCs w:val="22"/>
          <w:lang w:val="ro-RO" w:eastAsia="hi-IN" w:bidi="hi-IN"/>
        </w:rPr>
        <w:t>și va fi activat</w:t>
      </w:r>
      <w:r>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în conformitate cu prevederile prezentei Anexe.</w:t>
      </w:r>
    </w:p>
    <w:p w14:paraId="01A4E91B" w14:textId="77777777" w:rsidR="00D539BB"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consideră cantitatea notificată la operatorul pieţei de echilibrare, conform prevederilor RPUPCD, ca fiind aceea conform solicitării privind activarea opțiunii de modificare a cantității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w:t>
      </w:r>
    </w:p>
    <w:p w14:paraId="2E8F61F7" w14:textId="77777777" w:rsidR="00D539BB" w:rsidRPr="00D479B3"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va lua în considerare notificarea </w:t>
      </w:r>
      <w:r>
        <w:rPr>
          <w:rFonts w:ascii="Tahoma" w:hAnsi="Tahoma" w:cs="Tahoma"/>
          <w:bCs/>
          <w:sz w:val="22"/>
          <w:szCs w:val="22"/>
          <w:lang w:val="ro-RO"/>
        </w:rPr>
        <w:t xml:space="preserve">transmisă la operatorul pieței de echilibrare, conform prevederilor RPUPCD </w:t>
      </w:r>
      <w:r w:rsidRPr="004702FC">
        <w:rPr>
          <w:rFonts w:ascii="Tahoma" w:hAnsi="Tahoma" w:cs="Tahoma"/>
          <w:bCs/>
          <w:sz w:val="22"/>
          <w:szCs w:val="22"/>
          <w:lang w:val="ro-RO"/>
        </w:rPr>
        <w:t>cu valoarea cea mai mică.</w:t>
      </w: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4D240019" w14:textId="2A7B4A51" w:rsidR="00026F26" w:rsidRDefault="002A52B1" w:rsidP="002C440A">
      <w:pPr>
        <w:tabs>
          <w:tab w:val="center" w:pos="1985"/>
          <w:tab w:val="left" w:pos="2448"/>
          <w:tab w:val="left" w:pos="3720"/>
          <w:tab w:val="left" w:pos="4900"/>
          <w:tab w:val="left" w:pos="7338"/>
          <w:tab w:val="center" w:pos="7371"/>
          <w:tab w:val="right" w:pos="9060"/>
        </w:tabs>
        <w:spacing w:before="120" w:after="120"/>
        <w:ind w:left="284"/>
        <w:rPr>
          <w:rFonts w:ascii="Tahoma" w:hAnsi="Tahoma"/>
          <w:b/>
          <w:sz w:val="22"/>
          <w:lang w:val="es-PE"/>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3CFD5403"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65C40158" w14:textId="77777777" w:rsidR="00D539BB" w:rsidRPr="00D539BB" w:rsidRDefault="00D539BB" w:rsidP="00D539BB">
      <w:pPr>
        <w:pStyle w:val="BodyText"/>
        <w:spacing w:before="120" w:after="120"/>
        <w:ind w:left="284" w:hanging="709"/>
        <w:jc w:val="left"/>
        <w:rPr>
          <w:rFonts w:ascii="Tahoma" w:hAnsi="Tahoma" w:cs="Tahoma"/>
          <w:sz w:val="22"/>
          <w:szCs w:val="22"/>
          <w:lang w:val="ro-RO"/>
        </w:rPr>
      </w:pPr>
      <w:r w:rsidRPr="00D539BB">
        <w:rPr>
          <w:rFonts w:ascii="Tahoma" w:hAnsi="Tahoma" w:cs="Tahoma"/>
          <w:b/>
          <w:bCs/>
          <w:sz w:val="22"/>
          <w:szCs w:val="22"/>
          <w:lang w:val="ro-RO"/>
        </w:rPr>
        <w:t>Art. 2</w:t>
      </w:r>
      <w:r w:rsidRPr="00D539BB">
        <w:rPr>
          <w:rFonts w:ascii="Tahoma" w:hAnsi="Tahoma" w:cs="Tahoma"/>
          <w:sz w:val="22"/>
          <w:szCs w:val="22"/>
          <w:lang w:val="ro-RO"/>
        </w:rPr>
        <w:t>. Formula de ajustare a prețului de atribuire a contractului, după primul an de livrare (dacă este cazul), de la art. 1 este......................................................................................................</w:t>
      </w:r>
    </w:p>
    <w:p w14:paraId="2B747725" w14:textId="77777777" w:rsidR="00D539BB" w:rsidRPr="00D539BB" w:rsidRDefault="00D539BB" w:rsidP="00D539BB">
      <w:pPr>
        <w:pStyle w:val="BodyText"/>
        <w:spacing w:before="120" w:after="120"/>
        <w:ind w:left="284"/>
        <w:jc w:val="left"/>
        <w:rPr>
          <w:rFonts w:ascii="Tahoma" w:hAnsi="Tahoma" w:cs="Tahoma"/>
          <w:sz w:val="22"/>
          <w:szCs w:val="22"/>
          <w:lang w:val="es-PE"/>
        </w:rPr>
      </w:pPr>
      <w:r w:rsidRPr="00D539BB">
        <w:rPr>
          <w:rFonts w:ascii="Tahoma" w:hAnsi="Tahoma" w:cs="Tahoma"/>
          <w:sz w:val="22"/>
          <w:szCs w:val="22"/>
          <w:lang w:val="ro-RO"/>
        </w:rPr>
        <w:t>Termenii utilizati in formula de ajustare a prețului de atribuire a contractului au următoarea semnificație</w:t>
      </w:r>
      <w:r w:rsidRPr="00D539BB">
        <w:rPr>
          <w:rFonts w:ascii="Tahoma" w:hAnsi="Tahoma" w:cs="Tahoma"/>
          <w:sz w:val="22"/>
          <w:szCs w:val="22"/>
          <w:lang w:val="es-PE"/>
        </w:rPr>
        <w:t>:</w:t>
      </w:r>
    </w:p>
    <w:p w14:paraId="2E0B88AE" w14:textId="77777777" w:rsidR="00D539BB" w:rsidRPr="00D479B3" w:rsidRDefault="00D539BB" w:rsidP="00D539BB">
      <w:pPr>
        <w:pStyle w:val="BodyText"/>
        <w:spacing w:before="120" w:after="120"/>
        <w:ind w:left="284" w:hanging="709"/>
        <w:jc w:val="left"/>
        <w:rPr>
          <w:rFonts w:ascii="Tahoma" w:hAnsi="Tahoma" w:cs="Tahoma"/>
          <w:sz w:val="22"/>
          <w:szCs w:val="22"/>
          <w:lang w:val="es-PE"/>
        </w:rPr>
      </w:pPr>
      <w:r w:rsidRPr="00D539BB">
        <w:rPr>
          <w:rFonts w:ascii="Tahoma" w:hAnsi="Tahoma" w:cs="Tahoma"/>
          <w:sz w:val="22"/>
          <w:szCs w:val="22"/>
          <w:lang w:val="es-PE"/>
        </w:rPr>
        <w:tab/>
      </w:r>
      <w:r w:rsidRPr="00D539BB">
        <w:rPr>
          <w:rFonts w:ascii="Tahoma" w:hAnsi="Tahoma" w:cs="Tahoma"/>
          <w:sz w:val="22"/>
          <w:szCs w:val="22"/>
          <w:lang w:val="es-PE"/>
        </w:rPr>
        <w:tab/>
        <w:t>......................................................................................................</w:t>
      </w:r>
    </w:p>
    <w:p w14:paraId="5D8CBCB2" w14:textId="77777777" w:rsidR="00D539BB" w:rsidRDefault="00D539BB" w:rsidP="006C17CC">
      <w:pPr>
        <w:pStyle w:val="BodyText"/>
        <w:spacing w:before="120" w:after="120"/>
        <w:ind w:left="284" w:hanging="709"/>
        <w:jc w:val="left"/>
        <w:rPr>
          <w:rFonts w:ascii="Tahoma" w:hAnsi="Tahoma" w:cs="Tahoma"/>
          <w:sz w:val="22"/>
          <w:szCs w:val="22"/>
          <w:lang w:val="ro-RO"/>
        </w:rPr>
      </w:pP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BA927E0" w14:textId="77777777" w:rsidR="00647948" w:rsidRDefault="0064794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0750390C"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3C7FEAF9" w:rsidR="00FC4B42" w:rsidRDefault="00D82A84" w:rsidP="001B5C3A">
      <w:pPr>
        <w:pStyle w:val="Body"/>
        <w:spacing w:before="240" w:after="120" w:line="480" w:lineRule="auto"/>
        <w:jc w:val="center"/>
        <w:rPr>
          <w:rFonts w:ascii="Tahoma" w:hAnsi="Tahoma" w:cs="Tahoma"/>
          <w:b/>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031C7B6E" w14:textId="77777777" w:rsidR="00FA2ED9" w:rsidRPr="007A4E53" w:rsidRDefault="00FA2ED9" w:rsidP="001B5C3A">
      <w:pPr>
        <w:pStyle w:val="Body"/>
        <w:spacing w:before="240" w:after="120" w:line="480" w:lineRule="auto"/>
        <w:jc w:val="center"/>
        <w:rPr>
          <w:rFonts w:ascii="Tahoma" w:hAnsi="Tahoma" w:cs="Tahoma"/>
          <w:sz w:val="22"/>
          <w:szCs w:val="22"/>
          <w:lang w:val="ro-RO"/>
        </w:rPr>
      </w:pP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752BE70F"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 xml:space="preserve">prevăzută la art. </w:t>
      </w:r>
      <w:r w:rsidR="003B5654">
        <w:rPr>
          <w:rFonts w:ascii="Tahoma" w:hAnsi="Tahoma" w:cs="Tahoma"/>
          <w:sz w:val="22"/>
          <w:szCs w:val="22"/>
          <w:lang w:val="ro-RO"/>
        </w:rPr>
        <w:t xml:space="preserve">15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304C2ED9"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w:t>
      </w:r>
      <w:r w:rsidR="003B5654">
        <w:rPr>
          <w:rFonts w:ascii="Tahoma" w:hAnsi="Tahoma" w:cs="Tahoma"/>
          <w:sz w:val="22"/>
          <w:szCs w:val="22"/>
          <w:lang w:val="ro-RO"/>
        </w:rPr>
        <w:t xml:space="preserve">16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0"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0"/>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1"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1"/>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3EA2" w14:textId="77777777" w:rsidR="00EC29BF" w:rsidRDefault="00EC29BF">
      <w:r>
        <w:separator/>
      </w:r>
    </w:p>
  </w:endnote>
  <w:endnote w:type="continuationSeparator" w:id="0">
    <w:p w14:paraId="76F37329" w14:textId="77777777" w:rsidR="00EC29BF" w:rsidRDefault="00EC29BF">
      <w:r>
        <w:continuationSeparator/>
      </w:r>
    </w:p>
  </w:endnote>
  <w:endnote w:type="continuationNotice" w:id="1">
    <w:p w14:paraId="363ED073" w14:textId="77777777" w:rsidR="00EC29BF" w:rsidRDefault="00EC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9118" w14:textId="77777777" w:rsidR="00EC29BF" w:rsidRDefault="00EC29BF">
      <w:r>
        <w:separator/>
      </w:r>
    </w:p>
  </w:footnote>
  <w:footnote w:type="continuationSeparator" w:id="0">
    <w:p w14:paraId="523813BF" w14:textId="77777777" w:rsidR="00EC29BF" w:rsidRDefault="00EC29BF">
      <w:r>
        <w:continuationSeparator/>
      </w:r>
    </w:p>
  </w:footnote>
  <w:footnote w:type="continuationNotice" w:id="1">
    <w:p w14:paraId="45D098B6" w14:textId="77777777" w:rsidR="00EC29BF" w:rsidRDefault="00EC29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2E1"/>
    <w:multiLevelType w:val="hybridMultilevel"/>
    <w:tmpl w:val="62D6201A"/>
    <w:lvl w:ilvl="0" w:tplc="58B46E1A">
      <w:numFmt w:val="bullet"/>
      <w:lvlText w:val="-"/>
      <w:lvlJc w:val="left"/>
      <w:pPr>
        <w:tabs>
          <w:tab w:val="num" w:pos="142"/>
        </w:tabs>
        <w:ind w:left="142" w:hanging="360"/>
      </w:pPr>
      <w:rPr>
        <w:rFonts w:ascii="Times New Roman" w:eastAsia="Times New Roman" w:hAnsi="Times New Roman" w:cs="Times New Roman" w:hint="default"/>
      </w:rPr>
    </w:lvl>
    <w:lvl w:ilvl="1" w:tplc="04180019" w:tentative="1">
      <w:start w:val="1"/>
      <w:numFmt w:val="lowerLetter"/>
      <w:lvlText w:val="%2."/>
      <w:lvlJc w:val="left"/>
      <w:pPr>
        <w:tabs>
          <w:tab w:val="num" w:pos="862"/>
        </w:tabs>
        <w:ind w:left="862" w:hanging="360"/>
      </w:pPr>
    </w:lvl>
    <w:lvl w:ilvl="2" w:tplc="0418001B" w:tentative="1">
      <w:start w:val="1"/>
      <w:numFmt w:val="lowerRoman"/>
      <w:lvlText w:val="%3."/>
      <w:lvlJc w:val="right"/>
      <w:pPr>
        <w:tabs>
          <w:tab w:val="num" w:pos="1582"/>
        </w:tabs>
        <w:ind w:left="1582" w:hanging="180"/>
      </w:pPr>
    </w:lvl>
    <w:lvl w:ilvl="3" w:tplc="0418000F" w:tentative="1">
      <w:start w:val="1"/>
      <w:numFmt w:val="decimal"/>
      <w:lvlText w:val="%4."/>
      <w:lvlJc w:val="left"/>
      <w:pPr>
        <w:tabs>
          <w:tab w:val="num" w:pos="2302"/>
        </w:tabs>
        <w:ind w:left="2302" w:hanging="360"/>
      </w:pPr>
    </w:lvl>
    <w:lvl w:ilvl="4" w:tplc="04180019" w:tentative="1">
      <w:start w:val="1"/>
      <w:numFmt w:val="lowerLetter"/>
      <w:lvlText w:val="%5."/>
      <w:lvlJc w:val="left"/>
      <w:pPr>
        <w:tabs>
          <w:tab w:val="num" w:pos="3022"/>
        </w:tabs>
        <w:ind w:left="3022" w:hanging="360"/>
      </w:pPr>
    </w:lvl>
    <w:lvl w:ilvl="5" w:tplc="0418001B" w:tentative="1">
      <w:start w:val="1"/>
      <w:numFmt w:val="lowerRoman"/>
      <w:lvlText w:val="%6."/>
      <w:lvlJc w:val="right"/>
      <w:pPr>
        <w:tabs>
          <w:tab w:val="num" w:pos="3742"/>
        </w:tabs>
        <w:ind w:left="3742" w:hanging="180"/>
      </w:pPr>
    </w:lvl>
    <w:lvl w:ilvl="6" w:tplc="0418000F" w:tentative="1">
      <w:start w:val="1"/>
      <w:numFmt w:val="decimal"/>
      <w:lvlText w:val="%7."/>
      <w:lvlJc w:val="left"/>
      <w:pPr>
        <w:tabs>
          <w:tab w:val="num" w:pos="4462"/>
        </w:tabs>
        <w:ind w:left="4462" w:hanging="360"/>
      </w:pPr>
    </w:lvl>
    <w:lvl w:ilvl="7" w:tplc="04180019" w:tentative="1">
      <w:start w:val="1"/>
      <w:numFmt w:val="lowerLetter"/>
      <w:lvlText w:val="%8."/>
      <w:lvlJc w:val="left"/>
      <w:pPr>
        <w:tabs>
          <w:tab w:val="num" w:pos="5182"/>
        </w:tabs>
        <w:ind w:left="5182" w:hanging="360"/>
      </w:pPr>
    </w:lvl>
    <w:lvl w:ilvl="8" w:tplc="0418001B" w:tentative="1">
      <w:start w:val="1"/>
      <w:numFmt w:val="lowerRoman"/>
      <w:lvlText w:val="%9."/>
      <w:lvlJc w:val="right"/>
      <w:pPr>
        <w:tabs>
          <w:tab w:val="num" w:pos="5902"/>
        </w:tabs>
        <w:ind w:left="5902"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67022E10"/>
    <w:lvl w:ilvl="0" w:tplc="A4F24684">
      <w:start w:val="1"/>
      <w:numFmt w:val="decimal"/>
      <w:lvlText w:val="(%1)"/>
      <w:lvlJc w:val="left"/>
      <w:pPr>
        <w:tabs>
          <w:tab w:val="num" w:pos="795"/>
        </w:tabs>
        <w:ind w:left="795" w:hanging="435"/>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26F26"/>
    <w:rsid w:val="00030683"/>
    <w:rsid w:val="000321A0"/>
    <w:rsid w:val="00033CD1"/>
    <w:rsid w:val="000371E5"/>
    <w:rsid w:val="00037765"/>
    <w:rsid w:val="00040031"/>
    <w:rsid w:val="000462DA"/>
    <w:rsid w:val="00046F3E"/>
    <w:rsid w:val="00057593"/>
    <w:rsid w:val="000614B8"/>
    <w:rsid w:val="00061889"/>
    <w:rsid w:val="000626C8"/>
    <w:rsid w:val="00064E2C"/>
    <w:rsid w:val="000656B8"/>
    <w:rsid w:val="00065D3E"/>
    <w:rsid w:val="00067017"/>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58DC"/>
    <w:rsid w:val="000B6B04"/>
    <w:rsid w:val="000B7389"/>
    <w:rsid w:val="000B7FFC"/>
    <w:rsid w:val="000C038B"/>
    <w:rsid w:val="000C1777"/>
    <w:rsid w:val="000C2CEE"/>
    <w:rsid w:val="000D0CCB"/>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6000"/>
    <w:rsid w:val="001D7250"/>
    <w:rsid w:val="001D77F2"/>
    <w:rsid w:val="001D7BE3"/>
    <w:rsid w:val="001E145D"/>
    <w:rsid w:val="001E20D3"/>
    <w:rsid w:val="001E5208"/>
    <w:rsid w:val="001F1882"/>
    <w:rsid w:val="001F6BDE"/>
    <w:rsid w:val="001F7E56"/>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364FA"/>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0803"/>
    <w:rsid w:val="002B4E76"/>
    <w:rsid w:val="002B511D"/>
    <w:rsid w:val="002B524B"/>
    <w:rsid w:val="002B6553"/>
    <w:rsid w:val="002B6BBF"/>
    <w:rsid w:val="002C08F7"/>
    <w:rsid w:val="002C301A"/>
    <w:rsid w:val="002C3D68"/>
    <w:rsid w:val="002C440A"/>
    <w:rsid w:val="002C443E"/>
    <w:rsid w:val="002C5D13"/>
    <w:rsid w:val="002C6367"/>
    <w:rsid w:val="002D0612"/>
    <w:rsid w:val="002D2554"/>
    <w:rsid w:val="002D2BB1"/>
    <w:rsid w:val="002D380D"/>
    <w:rsid w:val="002D615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12D9"/>
    <w:rsid w:val="00333887"/>
    <w:rsid w:val="00333B57"/>
    <w:rsid w:val="00333D5E"/>
    <w:rsid w:val="0033661E"/>
    <w:rsid w:val="00340992"/>
    <w:rsid w:val="00342FF8"/>
    <w:rsid w:val="00343CC2"/>
    <w:rsid w:val="00344EE7"/>
    <w:rsid w:val="00347C33"/>
    <w:rsid w:val="00350605"/>
    <w:rsid w:val="00354AD6"/>
    <w:rsid w:val="00355AED"/>
    <w:rsid w:val="003608A6"/>
    <w:rsid w:val="00360A5C"/>
    <w:rsid w:val="00363E90"/>
    <w:rsid w:val="0036446D"/>
    <w:rsid w:val="00365938"/>
    <w:rsid w:val="00366A60"/>
    <w:rsid w:val="00366BFD"/>
    <w:rsid w:val="00367D76"/>
    <w:rsid w:val="00370C1B"/>
    <w:rsid w:val="0037275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54"/>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6A70"/>
    <w:rsid w:val="004C71AD"/>
    <w:rsid w:val="004C7251"/>
    <w:rsid w:val="004D0787"/>
    <w:rsid w:val="004D13AF"/>
    <w:rsid w:val="004D1447"/>
    <w:rsid w:val="004D153D"/>
    <w:rsid w:val="004D1DC2"/>
    <w:rsid w:val="004D2B92"/>
    <w:rsid w:val="004D6145"/>
    <w:rsid w:val="004D6199"/>
    <w:rsid w:val="004E11BE"/>
    <w:rsid w:val="004E307A"/>
    <w:rsid w:val="004E4426"/>
    <w:rsid w:val="004E558E"/>
    <w:rsid w:val="004E6CA0"/>
    <w:rsid w:val="004E732C"/>
    <w:rsid w:val="004F292D"/>
    <w:rsid w:val="004F39D9"/>
    <w:rsid w:val="004F66E1"/>
    <w:rsid w:val="004F7A69"/>
    <w:rsid w:val="00500DED"/>
    <w:rsid w:val="0050352F"/>
    <w:rsid w:val="00510205"/>
    <w:rsid w:val="005121D6"/>
    <w:rsid w:val="005145F1"/>
    <w:rsid w:val="00514C0B"/>
    <w:rsid w:val="005167BE"/>
    <w:rsid w:val="00517659"/>
    <w:rsid w:val="0052023A"/>
    <w:rsid w:val="00520FBE"/>
    <w:rsid w:val="00530047"/>
    <w:rsid w:val="005303A2"/>
    <w:rsid w:val="00532704"/>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46D8"/>
    <w:rsid w:val="005B580D"/>
    <w:rsid w:val="005C0CD8"/>
    <w:rsid w:val="005C13E7"/>
    <w:rsid w:val="005C2ACD"/>
    <w:rsid w:val="005C5DEE"/>
    <w:rsid w:val="005C5EE6"/>
    <w:rsid w:val="005C6507"/>
    <w:rsid w:val="005C797B"/>
    <w:rsid w:val="005D4165"/>
    <w:rsid w:val="005D4B36"/>
    <w:rsid w:val="005E16A1"/>
    <w:rsid w:val="005E1E67"/>
    <w:rsid w:val="005E33C4"/>
    <w:rsid w:val="005E52F0"/>
    <w:rsid w:val="005E6CCC"/>
    <w:rsid w:val="005E6D55"/>
    <w:rsid w:val="005F13DA"/>
    <w:rsid w:val="005F2143"/>
    <w:rsid w:val="005F4E2D"/>
    <w:rsid w:val="005F6F15"/>
    <w:rsid w:val="005F70FA"/>
    <w:rsid w:val="005F7147"/>
    <w:rsid w:val="006005AD"/>
    <w:rsid w:val="00600905"/>
    <w:rsid w:val="0060152C"/>
    <w:rsid w:val="00602F7E"/>
    <w:rsid w:val="006032AB"/>
    <w:rsid w:val="00604833"/>
    <w:rsid w:val="006055A5"/>
    <w:rsid w:val="00605B28"/>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47948"/>
    <w:rsid w:val="006514D5"/>
    <w:rsid w:val="00651EC4"/>
    <w:rsid w:val="0065576B"/>
    <w:rsid w:val="00655B7F"/>
    <w:rsid w:val="0066062D"/>
    <w:rsid w:val="00661C2C"/>
    <w:rsid w:val="00664581"/>
    <w:rsid w:val="0066546C"/>
    <w:rsid w:val="00665FE1"/>
    <w:rsid w:val="00667737"/>
    <w:rsid w:val="00671E0C"/>
    <w:rsid w:val="00674957"/>
    <w:rsid w:val="0067771F"/>
    <w:rsid w:val="00677864"/>
    <w:rsid w:val="00677AAA"/>
    <w:rsid w:val="00682770"/>
    <w:rsid w:val="00684F5E"/>
    <w:rsid w:val="006851DA"/>
    <w:rsid w:val="00686B6B"/>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3110"/>
    <w:rsid w:val="006C5F71"/>
    <w:rsid w:val="006D09A0"/>
    <w:rsid w:val="006D0A80"/>
    <w:rsid w:val="006D2802"/>
    <w:rsid w:val="006D46E8"/>
    <w:rsid w:val="006D5616"/>
    <w:rsid w:val="006D68A3"/>
    <w:rsid w:val="006D784D"/>
    <w:rsid w:val="006D7B8C"/>
    <w:rsid w:val="006E29A3"/>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8647F"/>
    <w:rsid w:val="00787B85"/>
    <w:rsid w:val="00790B2D"/>
    <w:rsid w:val="007975FF"/>
    <w:rsid w:val="00797D07"/>
    <w:rsid w:val="007A2549"/>
    <w:rsid w:val="007A3A24"/>
    <w:rsid w:val="007A4E53"/>
    <w:rsid w:val="007B0924"/>
    <w:rsid w:val="007B10A0"/>
    <w:rsid w:val="007B2B55"/>
    <w:rsid w:val="007B3F83"/>
    <w:rsid w:val="007B42F6"/>
    <w:rsid w:val="007B5DC6"/>
    <w:rsid w:val="007C0C09"/>
    <w:rsid w:val="007C43ED"/>
    <w:rsid w:val="007C45F4"/>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9F0"/>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4300"/>
    <w:rsid w:val="009457B2"/>
    <w:rsid w:val="00946761"/>
    <w:rsid w:val="00947605"/>
    <w:rsid w:val="00947959"/>
    <w:rsid w:val="009525C5"/>
    <w:rsid w:val="009527D0"/>
    <w:rsid w:val="00956CE6"/>
    <w:rsid w:val="0096027E"/>
    <w:rsid w:val="0096088D"/>
    <w:rsid w:val="00961438"/>
    <w:rsid w:val="009704FF"/>
    <w:rsid w:val="00973B00"/>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22FD"/>
    <w:rsid w:val="00A343A4"/>
    <w:rsid w:val="00A3500B"/>
    <w:rsid w:val="00A423AE"/>
    <w:rsid w:val="00A43540"/>
    <w:rsid w:val="00A4390B"/>
    <w:rsid w:val="00A44723"/>
    <w:rsid w:val="00A44ABF"/>
    <w:rsid w:val="00A50B95"/>
    <w:rsid w:val="00A5289D"/>
    <w:rsid w:val="00A559A0"/>
    <w:rsid w:val="00A5679E"/>
    <w:rsid w:val="00A60760"/>
    <w:rsid w:val="00A607A0"/>
    <w:rsid w:val="00A62367"/>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E5965"/>
    <w:rsid w:val="00AF01B3"/>
    <w:rsid w:val="00AF023F"/>
    <w:rsid w:val="00AF37FD"/>
    <w:rsid w:val="00AF762F"/>
    <w:rsid w:val="00B00430"/>
    <w:rsid w:val="00B01AAE"/>
    <w:rsid w:val="00B064FF"/>
    <w:rsid w:val="00B12422"/>
    <w:rsid w:val="00B140C3"/>
    <w:rsid w:val="00B1446B"/>
    <w:rsid w:val="00B176B6"/>
    <w:rsid w:val="00B205DE"/>
    <w:rsid w:val="00B21428"/>
    <w:rsid w:val="00B2351F"/>
    <w:rsid w:val="00B24990"/>
    <w:rsid w:val="00B26907"/>
    <w:rsid w:val="00B27674"/>
    <w:rsid w:val="00B329A0"/>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B6AAF"/>
    <w:rsid w:val="00BC2724"/>
    <w:rsid w:val="00BC5033"/>
    <w:rsid w:val="00BC5D81"/>
    <w:rsid w:val="00BC779E"/>
    <w:rsid w:val="00BD220D"/>
    <w:rsid w:val="00BD28B9"/>
    <w:rsid w:val="00BD389D"/>
    <w:rsid w:val="00BE04C0"/>
    <w:rsid w:val="00BE2893"/>
    <w:rsid w:val="00BE4E7C"/>
    <w:rsid w:val="00BE7F79"/>
    <w:rsid w:val="00BF01FA"/>
    <w:rsid w:val="00BF0656"/>
    <w:rsid w:val="00BF21EF"/>
    <w:rsid w:val="00BF2CB7"/>
    <w:rsid w:val="00BF349A"/>
    <w:rsid w:val="00BF52A2"/>
    <w:rsid w:val="00BF61FC"/>
    <w:rsid w:val="00BF7AC5"/>
    <w:rsid w:val="00C01C6A"/>
    <w:rsid w:val="00C01F05"/>
    <w:rsid w:val="00C02019"/>
    <w:rsid w:val="00C02D79"/>
    <w:rsid w:val="00C066AD"/>
    <w:rsid w:val="00C06A52"/>
    <w:rsid w:val="00C06BFD"/>
    <w:rsid w:val="00C06FC5"/>
    <w:rsid w:val="00C07A85"/>
    <w:rsid w:val="00C1040E"/>
    <w:rsid w:val="00C107DB"/>
    <w:rsid w:val="00C11867"/>
    <w:rsid w:val="00C12D6F"/>
    <w:rsid w:val="00C130EE"/>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19AC"/>
    <w:rsid w:val="00C81B73"/>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D68C2"/>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7438"/>
    <w:rsid w:val="00D47632"/>
    <w:rsid w:val="00D47E93"/>
    <w:rsid w:val="00D5093F"/>
    <w:rsid w:val="00D5298F"/>
    <w:rsid w:val="00D539BB"/>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E1478"/>
    <w:rsid w:val="00DE2BB8"/>
    <w:rsid w:val="00DE2D09"/>
    <w:rsid w:val="00DE5AA4"/>
    <w:rsid w:val="00DF14C9"/>
    <w:rsid w:val="00DF3191"/>
    <w:rsid w:val="00DF3F74"/>
    <w:rsid w:val="00DF4417"/>
    <w:rsid w:val="00DF55CB"/>
    <w:rsid w:val="00DF55D7"/>
    <w:rsid w:val="00E06A6E"/>
    <w:rsid w:val="00E07F35"/>
    <w:rsid w:val="00E1146C"/>
    <w:rsid w:val="00E11DD1"/>
    <w:rsid w:val="00E12C27"/>
    <w:rsid w:val="00E14CB0"/>
    <w:rsid w:val="00E15299"/>
    <w:rsid w:val="00E15EBB"/>
    <w:rsid w:val="00E220B8"/>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41E3"/>
    <w:rsid w:val="00E7571F"/>
    <w:rsid w:val="00E75866"/>
    <w:rsid w:val="00E8018F"/>
    <w:rsid w:val="00E824AF"/>
    <w:rsid w:val="00E836A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283E"/>
    <w:rsid w:val="00EC29BF"/>
    <w:rsid w:val="00EC415D"/>
    <w:rsid w:val="00EC4C29"/>
    <w:rsid w:val="00EC58CD"/>
    <w:rsid w:val="00EC7E77"/>
    <w:rsid w:val="00ED1BE8"/>
    <w:rsid w:val="00ED29DA"/>
    <w:rsid w:val="00ED2FF4"/>
    <w:rsid w:val="00ED3B12"/>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529C"/>
    <w:rsid w:val="00F77B11"/>
    <w:rsid w:val="00F8171D"/>
    <w:rsid w:val="00F8453F"/>
    <w:rsid w:val="00F8582A"/>
    <w:rsid w:val="00F85872"/>
    <w:rsid w:val="00F90280"/>
    <w:rsid w:val="00F92447"/>
    <w:rsid w:val="00F93043"/>
    <w:rsid w:val="00F94961"/>
    <w:rsid w:val="00F94D13"/>
    <w:rsid w:val="00FA1914"/>
    <w:rsid w:val="00FA2ED9"/>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32B8"/>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6318</Words>
  <Characters>38382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OPCOM SA</dc:creator>
  <cp:keywords/>
  <cp:lastModifiedBy>Alexandru Palangean</cp:lastModifiedBy>
  <cp:revision>4</cp:revision>
  <cp:lastPrinted>2019-09-10T11:46:00Z</cp:lastPrinted>
  <dcterms:created xsi:type="dcterms:W3CDTF">2026-04-29T11:44:00Z</dcterms:created>
  <dcterms:modified xsi:type="dcterms:W3CDTF">2026-04-30T08:55:00Z</dcterms:modified>
</cp:coreProperties>
</file>